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01" w:rsidRDefault="00902E01" w:rsidP="00902E01">
      <w:pPr>
        <w:pStyle w:val="Gliederung1"/>
      </w:pPr>
      <w:bookmarkStart w:id="1" w:name="_GoBack"/>
      <w:bookmarkEnd w:id="1"/>
      <w:r>
        <w:t>Zweck</w:t>
      </w:r>
    </w:p>
    <w:p w:rsidR="00902E01" w:rsidRDefault="00902E01" w:rsidP="00F96A04">
      <w:pPr>
        <w:spacing w:after="120"/>
      </w:pPr>
      <w:r>
        <w:t>Diese Arbeitsanweisung beschreibt wie wir in unserem Unternehmen Betroffenen Auskunft über ihre, von uns verarbeiteten persönlichen Daten, erteilen. (Siehe Art. 15 DSGVO Auskunftsrecht der betroffenen Person).</w:t>
      </w:r>
    </w:p>
    <w:p w:rsidR="00902E01" w:rsidRDefault="00902E01" w:rsidP="00902E01">
      <w:pPr>
        <w:pStyle w:val="Gliederung1"/>
      </w:pPr>
      <w:r>
        <w:t>Geltungsbereich</w:t>
      </w:r>
    </w:p>
    <w:p w:rsidR="00902E01" w:rsidRDefault="00902E01" w:rsidP="0037201C">
      <w:pPr>
        <w:spacing w:after="120"/>
      </w:pPr>
      <w:r>
        <w:t>Diese AA gilt für alle Mitarbeiter und Mitarbeiterinnen, die in irgendeiner Form mit der beschriebenen Tätigkeit in unserem Unternehmen betraut sind.</w:t>
      </w:r>
    </w:p>
    <w:p w:rsidR="00902E01" w:rsidRDefault="00902E01" w:rsidP="00902E01">
      <w:pPr>
        <w:pStyle w:val="Gliederung1"/>
      </w:pPr>
      <w:r>
        <w:t>Begriffe</w:t>
      </w:r>
    </w:p>
    <w:p w:rsidR="00902E01" w:rsidRDefault="00902E01">
      <w:pPr>
        <w:spacing w:after="120"/>
      </w:pPr>
      <w:r>
        <w:t>- Keine -</w:t>
      </w:r>
    </w:p>
    <w:p w:rsidR="00902E01" w:rsidRDefault="00902E01" w:rsidP="00902E01">
      <w:pPr>
        <w:pStyle w:val="Gliederung1"/>
      </w:pPr>
      <w:r>
        <w:t>Zuständigkeit / Verantwortung</w:t>
      </w:r>
    </w:p>
    <w:p w:rsidR="00902E01" w:rsidRDefault="00902E01" w:rsidP="0037201C">
      <w:pPr>
        <w:spacing w:after="120"/>
      </w:pPr>
      <w:r>
        <w:t>Alle zuständigen Mitarbeiter und Mitarbeiterinnen stellen durch ihr eigenverantwortliches Handeln die erfolgreiche Umsetzung dieser Anweisung sicher.</w:t>
      </w:r>
    </w:p>
    <w:p w:rsidR="00902E01" w:rsidRDefault="00902E01" w:rsidP="0037201C">
      <w:pPr>
        <w:spacing w:after="120"/>
      </w:pPr>
      <w:r>
        <w:t>Verantwortlich für den Inhalt sowie die Einhaltung dieser Arbeitsanweisung ist die Geschäftsleitung.</w:t>
      </w:r>
    </w:p>
    <w:p w:rsidR="00902E01" w:rsidRDefault="00902E01" w:rsidP="0037201C">
      <w:pPr>
        <w:spacing w:after="120"/>
      </w:pPr>
      <w:r>
        <w:t>Für alle unklaren oder offenen Punkte ist die Geschäftsleitung zur Klärung anzusprechen.</w:t>
      </w:r>
    </w:p>
    <w:p w:rsidR="00902E01" w:rsidRDefault="00902E01" w:rsidP="00902E01">
      <w:pPr>
        <w:pStyle w:val="Gliederung1"/>
      </w:pPr>
      <w:r>
        <w:t>Beschreibung</w:t>
      </w:r>
    </w:p>
    <w:p w:rsidR="00902E01" w:rsidRDefault="00902E01" w:rsidP="005C51F8">
      <w:pPr>
        <w:pStyle w:val="Gliederung1"/>
        <w:numPr>
          <w:ilvl w:val="0"/>
          <w:numId w:val="0"/>
        </w:numPr>
        <w:rPr>
          <w:b w:val="0"/>
          <w:sz w:val="22"/>
          <w:szCs w:val="22"/>
        </w:rPr>
      </w:pPr>
      <w:r w:rsidRPr="005C51F8">
        <w:rPr>
          <w:b w:val="0"/>
          <w:sz w:val="22"/>
          <w:szCs w:val="22"/>
        </w:rPr>
        <w:t>Wir arbeiten auf folgender Rechtsgrundlage:</w:t>
      </w:r>
    </w:p>
    <w:p w:rsidR="00902E01" w:rsidRPr="005C51F8" w:rsidRDefault="00902E01" w:rsidP="005C51F8">
      <w:pPr>
        <w:spacing w:after="120"/>
      </w:pPr>
      <w:r>
        <w:t xml:space="preserve">Die betroffene Person hat das Recht, von dem Verantwortlichen eine Bestätigung darüber zu verlangen, ob die betreffenden personenbezogenen Daten verarbeitet werden; ist dies der Fall, so hat die Person ein Recht auf Auskunft über diese personenbezogenen Daten und auf folgende Informationen: </w:t>
      </w:r>
    </w:p>
    <w:p w:rsidR="00902E01" w:rsidRDefault="00902E01" w:rsidP="00902E01">
      <w:pPr>
        <w:numPr>
          <w:ilvl w:val="0"/>
          <w:numId w:val="4"/>
        </w:numPr>
        <w:spacing w:afterLines="0" w:after="0"/>
        <w:jc w:val="left"/>
      </w:pPr>
      <w:r>
        <w:t>die Verarbeitungszwecke;</w:t>
      </w:r>
    </w:p>
    <w:p w:rsidR="00902E01" w:rsidRDefault="00902E01" w:rsidP="00902E01">
      <w:pPr>
        <w:numPr>
          <w:ilvl w:val="0"/>
          <w:numId w:val="4"/>
        </w:numPr>
        <w:spacing w:afterLines="0" w:after="0"/>
        <w:jc w:val="left"/>
      </w:pPr>
      <w:r>
        <w:t>die Kategorien personenbezogener Daten, die verarbeitet werden;</w:t>
      </w:r>
    </w:p>
    <w:p w:rsidR="00902E01" w:rsidRDefault="00902E01" w:rsidP="00902E01">
      <w:pPr>
        <w:numPr>
          <w:ilvl w:val="0"/>
          <w:numId w:val="4"/>
        </w:numPr>
        <w:spacing w:afterLines="0" w:after="0"/>
        <w:jc w:val="left"/>
      </w:pPr>
      <w:r>
        <w:t>die Empfänger oder Kategorien von Empfängern, gegenüber denen die personenbezogenen Daten offengelegt worden sind oder noch offengelegt werden, insbesondere bei Empfängern in Drittländern oder bei internationalen Organisationen,</w:t>
      </w:r>
    </w:p>
    <w:p w:rsidR="00902E01" w:rsidRDefault="00902E01" w:rsidP="00902E01">
      <w:pPr>
        <w:numPr>
          <w:ilvl w:val="0"/>
          <w:numId w:val="4"/>
        </w:numPr>
        <w:spacing w:afterLines="0" w:after="0"/>
        <w:jc w:val="left"/>
      </w:pPr>
      <w:r>
        <w:t>falls möglich die geplante Dauer, für die die personenbezogenen Daten gespeichert werden, oder, falls dies nicht möglich ist, die Kriterien für die Festlegung dieser Dauer,</w:t>
      </w:r>
    </w:p>
    <w:p w:rsidR="00902E01" w:rsidRDefault="00902E01" w:rsidP="00902E01">
      <w:pPr>
        <w:numPr>
          <w:ilvl w:val="0"/>
          <w:numId w:val="4"/>
        </w:numPr>
        <w:spacing w:afterLines="0" w:after="0"/>
        <w:jc w:val="left"/>
      </w:pPr>
      <w:r>
        <w:t>das Bestehen eines Rechts auf Berichtigung oder Löschung der die Person betreffenden personenbezogenen Daten oder auf Einschränkung der Verarbeitung durch den Verantwortlichen oder eines Widerspruchsrechts gegen diese Verarbeitung;</w:t>
      </w:r>
    </w:p>
    <w:p w:rsidR="00902E01" w:rsidRDefault="00902E01" w:rsidP="00902E01">
      <w:pPr>
        <w:numPr>
          <w:ilvl w:val="0"/>
          <w:numId w:val="4"/>
        </w:numPr>
        <w:spacing w:afterLines="0" w:after="0"/>
        <w:jc w:val="left"/>
      </w:pPr>
      <w:r>
        <w:t>das Bestehen eines Beschwerderechts bei einer Aufsichtsbehörde;</w:t>
      </w:r>
    </w:p>
    <w:p w:rsidR="00902E01" w:rsidRDefault="00902E01" w:rsidP="00902E01">
      <w:pPr>
        <w:numPr>
          <w:ilvl w:val="0"/>
          <w:numId w:val="4"/>
        </w:numPr>
        <w:spacing w:afterLines="0" w:after="0"/>
        <w:jc w:val="left"/>
      </w:pPr>
      <w:r>
        <w:t>wenn die personenbezogenen Daten nicht bei der betroffenen Person erhoben werden, alle verfügbaren Informationen über die Herkunft der Daten;</w:t>
      </w:r>
    </w:p>
    <w:p w:rsidR="00902E01" w:rsidRDefault="00902E01" w:rsidP="00902E01">
      <w:pPr>
        <w:numPr>
          <w:ilvl w:val="0"/>
          <w:numId w:val="4"/>
        </w:numPr>
        <w:spacing w:afterLines="0" w:after="0"/>
        <w:jc w:val="left"/>
      </w:pPr>
      <w:r>
        <w:t xml:space="preserve">das Bestehen einer automatisierten Entscheidungsfindung einschließlich </w:t>
      </w:r>
      <w:proofErr w:type="spellStart"/>
      <w:r>
        <w:t>Profiling</w:t>
      </w:r>
      <w:proofErr w:type="spellEnd"/>
      <w:r>
        <w:t xml:space="preserve"> gemäß Artikel 22 Absätze 1 und 4 und – zumindest in diesen Fällen – aussagekräftige Informationen über die involvierte Logik sowie die Tragweite und die angestrebten Auswirkungen einer derartigen Verarbeitung für die betroffene Person.</w:t>
      </w:r>
    </w:p>
    <w:p w:rsidR="00902E01" w:rsidRDefault="00902E01" w:rsidP="00F96A04">
      <w:pPr>
        <w:spacing w:after="120"/>
      </w:pPr>
    </w:p>
    <w:p w:rsidR="00902E01" w:rsidRDefault="00902E01" w:rsidP="00F96A04">
      <w:pPr>
        <w:spacing w:after="120"/>
      </w:pPr>
    </w:p>
    <w:p w:rsidR="00902E01" w:rsidRDefault="00902E01" w:rsidP="00F96A04">
      <w:pPr>
        <w:spacing w:after="120"/>
      </w:pPr>
    </w:p>
    <w:p w:rsidR="00902E01" w:rsidRDefault="00902E01" w:rsidP="00F96A04">
      <w:pPr>
        <w:spacing w:after="120"/>
      </w:pPr>
    </w:p>
    <w:p w:rsidR="00902E01" w:rsidRDefault="00902E01" w:rsidP="00F96A04">
      <w:pPr>
        <w:spacing w:after="120"/>
      </w:pPr>
      <w:r>
        <w:lastRenderedPageBreak/>
        <w:t>Werden personenbezogene Daten an ein Drittland oder an eine internationale Organisation übermittelt, so hat die betroffene Person das Recht, über die geeigneten Garantien gemäß Artikel 46 im Zusammenhang mit der Übermittlung unterrichtet zu werden.</w:t>
      </w:r>
    </w:p>
    <w:p w:rsidR="00902E01" w:rsidRDefault="00902E01" w:rsidP="00F96A04">
      <w:pPr>
        <w:spacing w:after="120"/>
      </w:pPr>
    </w:p>
    <w:p w:rsidR="00902E01" w:rsidRDefault="00902E01" w:rsidP="00F96A04">
      <w:pPr>
        <w:spacing w:after="120"/>
      </w:pPr>
    </w:p>
    <w:p w:rsidR="00902E01" w:rsidRPr="00F96A04" w:rsidRDefault="00902E01" w:rsidP="00121CFB">
      <w:pPr>
        <w:spacing w:after="120"/>
        <w:rPr>
          <w:b/>
        </w:rPr>
      </w:pPr>
      <w:r w:rsidRPr="00F96A04">
        <w:rPr>
          <w:b/>
        </w:rPr>
        <w:t>Folgenden Prozess haben wir eingeführt:</w:t>
      </w:r>
    </w:p>
    <w:p w:rsidR="00902E01" w:rsidRDefault="00902E01" w:rsidP="00F96A04">
      <w:pPr>
        <w:spacing w:after="120"/>
      </w:pPr>
    </w:p>
    <w:p w:rsidR="00902E01" w:rsidRDefault="00902E01" w:rsidP="00121CFB">
      <w:pPr>
        <w:spacing w:after="120"/>
      </w:pPr>
      <w:r>
        <w:t>Unser Verantwortlicher stellt eine Kopie der personenbezogenen Daten, die Gegenstand der Verarbeitung sind, zur Verfügung.</w:t>
      </w:r>
    </w:p>
    <w:p w:rsidR="00902E01" w:rsidRDefault="00902E01" w:rsidP="00121CFB">
      <w:pPr>
        <w:spacing w:after="120"/>
      </w:pPr>
    </w:p>
    <w:p w:rsidR="00902E01" w:rsidRPr="00BF16BC" w:rsidRDefault="00902E01" w:rsidP="00121CFB">
      <w:pPr>
        <w:spacing w:after="120"/>
        <w:rPr>
          <w:b/>
          <w:color w:val="FF0000"/>
        </w:rPr>
      </w:pPr>
      <w:r w:rsidRPr="00BF16BC">
        <w:rPr>
          <w:b/>
          <w:color w:val="FF0000"/>
        </w:rPr>
        <w:t xml:space="preserve">&gt;&gt;&gt; </w:t>
      </w:r>
      <w:r>
        <w:rPr>
          <w:b/>
          <w:color w:val="FF0000"/>
        </w:rPr>
        <w:t>hier erfolgt Ihre Prozessdarstellung/</w:t>
      </w:r>
      <w:proofErr w:type="spellStart"/>
      <w:r w:rsidRPr="00BF16BC">
        <w:rPr>
          <w:b/>
          <w:color w:val="FF0000"/>
        </w:rPr>
        <w:t>beschreibung</w:t>
      </w:r>
      <w:proofErr w:type="spellEnd"/>
    </w:p>
    <w:p w:rsidR="00902E01" w:rsidRPr="00BF16BC" w:rsidRDefault="00902E01" w:rsidP="00121CFB">
      <w:pPr>
        <w:spacing w:after="120"/>
        <w:rPr>
          <w:b/>
          <w:color w:val="FF0000"/>
        </w:rPr>
      </w:pPr>
      <w:r w:rsidRPr="00BF16BC">
        <w:rPr>
          <w:b/>
          <w:color w:val="FF0000"/>
        </w:rPr>
        <w:t>……..</w:t>
      </w:r>
    </w:p>
    <w:p w:rsidR="00902E01" w:rsidRDefault="00902E01" w:rsidP="00F96A04">
      <w:pPr>
        <w:spacing w:after="120"/>
      </w:pPr>
    </w:p>
    <w:p w:rsidR="00902E01" w:rsidRDefault="00902E01" w:rsidP="00F96A04">
      <w:pPr>
        <w:spacing w:after="120"/>
      </w:pPr>
      <w:r>
        <w:t>Stellt die betroffene Person den Antrag elektronisch, so sind die Informationen in einem gängigen elektronischen Format zur Verfügung zu stellen, sofern sie nichts anderes angibt.</w:t>
      </w:r>
    </w:p>
    <w:p w:rsidR="00902E01" w:rsidRDefault="00902E01" w:rsidP="00F96A04">
      <w:pPr>
        <w:spacing w:after="120"/>
      </w:pPr>
    </w:p>
    <w:p w:rsidR="00902E01" w:rsidRDefault="00902E01" w:rsidP="00F96A04">
      <w:pPr>
        <w:spacing w:after="120"/>
      </w:pPr>
      <w:r>
        <w:t>Wir dokumentieren die Anfrage und unsere Antwort auf die Anfrage.</w:t>
      </w:r>
    </w:p>
    <w:p w:rsidR="00902E01" w:rsidRDefault="00902E01" w:rsidP="00902E01">
      <w:pPr>
        <w:pStyle w:val="Gliederung1"/>
      </w:pPr>
      <w:r>
        <w:t>Dokumente und Verweise</w:t>
      </w:r>
    </w:p>
    <w:p w:rsidR="00902E01" w:rsidRPr="005C51F8" w:rsidRDefault="00902E01" w:rsidP="00902E01">
      <w:pPr>
        <w:pStyle w:val="Fuzeile"/>
        <w:numPr>
          <w:ilvl w:val="0"/>
          <w:numId w:val="3"/>
        </w:numPr>
        <w:tabs>
          <w:tab w:val="clear" w:pos="9072"/>
          <w:tab w:val="right" w:pos="9639"/>
        </w:tabs>
        <w:spacing w:before="60" w:afterLines="0" w:after="0"/>
        <w:jc w:val="left"/>
        <w:rPr>
          <w:sz w:val="22"/>
          <w:szCs w:val="22"/>
        </w:rPr>
      </w:pPr>
      <w:r w:rsidRPr="005C51F8">
        <w:rPr>
          <w:sz w:val="22"/>
          <w:szCs w:val="22"/>
        </w:rPr>
        <w:t>Art. 15 DSGVO Auskunftsrecht der betroffenen Person</w:t>
      </w:r>
    </w:p>
    <w:p w:rsidR="00902E01" w:rsidRPr="00276FBB" w:rsidRDefault="00902E01" w:rsidP="00671136">
      <w:pPr>
        <w:spacing w:after="120"/>
      </w:pPr>
      <w:bookmarkStart w:id="2" w:name="Content"/>
    </w:p>
    <w:p w:rsidR="006761C4" w:rsidRPr="00CC4BD2" w:rsidRDefault="00902E01"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560" w:rsidRDefault="00097560" w:rsidP="0077456D">
      <w:pPr>
        <w:spacing w:after="120"/>
      </w:pPr>
      <w:r>
        <w:separator/>
      </w:r>
    </w:p>
  </w:endnote>
  <w:endnote w:type="continuationSeparator" w:id="0">
    <w:p w:rsidR="00097560" w:rsidRDefault="00097560"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A66FE8">
      <w:rPr>
        <w:noProof/>
        <w:sz w:val="16"/>
        <w:szCs w:val="16"/>
        <w:lang w:val="en-US"/>
      </w:rPr>
      <w:t>LBT[D-2]VA Auskunftserteilung DSGVO 15</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560" w:rsidRDefault="00097560" w:rsidP="0077456D">
      <w:pPr>
        <w:spacing w:after="120"/>
      </w:pPr>
      <w:bookmarkStart w:id="0" w:name="_Hlk481136727"/>
      <w:bookmarkEnd w:id="0"/>
      <w:r>
        <w:separator/>
      </w:r>
    </w:p>
  </w:footnote>
  <w:footnote w:type="continuationSeparator" w:id="0">
    <w:p w:rsidR="00097560" w:rsidRDefault="00097560"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E71439"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C6002"/>
    <w:multiLevelType w:val="hybridMultilevel"/>
    <w:tmpl w:val="FCAE6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260FC1"/>
    <w:multiLevelType w:val="hybridMultilevel"/>
    <w:tmpl w:val="17FED7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01"/>
    <w:rsid w:val="00000179"/>
    <w:rsid w:val="00021B41"/>
    <w:rsid w:val="00025AEE"/>
    <w:rsid w:val="00055887"/>
    <w:rsid w:val="00056667"/>
    <w:rsid w:val="0006543C"/>
    <w:rsid w:val="00066F3C"/>
    <w:rsid w:val="00097560"/>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84D2A"/>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02E01"/>
    <w:rsid w:val="0091129A"/>
    <w:rsid w:val="00956B07"/>
    <w:rsid w:val="00964074"/>
    <w:rsid w:val="00997FBC"/>
    <w:rsid w:val="009C3DC3"/>
    <w:rsid w:val="009D0F5B"/>
    <w:rsid w:val="009E47A0"/>
    <w:rsid w:val="00A47AD3"/>
    <w:rsid w:val="00A66FE8"/>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1439"/>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03079B-8407-46EB-862D-E5124DFC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FuzeileZchn">
    <w:name w:val="Fußzeile Zchn"/>
    <w:basedOn w:val="Absatz-Standardschriftart"/>
    <w:link w:val="Fuzeile"/>
    <w:locked/>
    <w:rsid w:val="00902E01"/>
    <w:rPr>
      <w:rFonts w:asciiTheme="minorHAnsi" w:hAnsiTheme="minorHAnsi"/>
    </w:rPr>
  </w:style>
  <w:style w:type="paragraph" w:customStyle="1" w:styleId="Gliederung1">
    <w:name w:val="Gliederung 1"/>
    <w:basedOn w:val="Standard"/>
    <w:autoRedefine/>
    <w:rsid w:val="00902E01"/>
    <w:pPr>
      <w:numPr>
        <w:numId w:val="2"/>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902E01"/>
    <w:pPr>
      <w:numPr>
        <w:ilvl w:val="1"/>
        <w:numId w:val="2"/>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902E01"/>
    <w:pPr>
      <w:numPr>
        <w:ilvl w:val="2"/>
        <w:numId w:val="2"/>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434</Words>
  <Characters>2738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2021-10-05T08:51:00Z</dcterms:created>
  <dcterms:modified xsi:type="dcterms:W3CDTF">2021-10-05T08:51:00Z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