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E18" w:rsidRPr="00B87739" w:rsidRDefault="00482E18" w:rsidP="00482E18">
      <w:pPr>
        <w:pStyle w:val="Gliederung1"/>
        <w:rPr>
          <w:rFonts w:asciiTheme="minorHAnsi" w:hAnsiTheme="minorHAnsi" w:cstheme="minorHAnsi"/>
          <w:sz w:val="20"/>
          <w:szCs w:val="20"/>
        </w:rPr>
      </w:pPr>
      <w:bookmarkStart w:id="1" w:name="_GoBack"/>
      <w:bookmarkEnd w:id="1"/>
      <w:r w:rsidRPr="00B87739">
        <w:rPr>
          <w:rFonts w:asciiTheme="minorHAnsi" w:hAnsiTheme="minorHAnsi" w:cstheme="minorHAnsi"/>
          <w:sz w:val="20"/>
          <w:szCs w:val="20"/>
        </w:rPr>
        <w:t>Zweck</w:t>
      </w:r>
    </w:p>
    <w:p w:rsidR="00482E18" w:rsidRPr="00B87739" w:rsidRDefault="00482E18" w:rsidP="007E7DD4">
      <w:pPr>
        <w:spacing w:after="120"/>
        <w:rPr>
          <w:rFonts w:cstheme="minorHAnsi"/>
        </w:rPr>
      </w:pPr>
      <w:r w:rsidRPr="00B87739">
        <w:rPr>
          <w:rFonts w:cstheme="minorHAnsi"/>
        </w:rPr>
        <w:t xml:space="preserve">Mit dieser Verfahrensanweisung (VA) legt die Unternehmensleitung Zuständigkeiten, Abläufe und grundsätzliche Regelungen </w:t>
      </w:r>
      <w:r>
        <w:rPr>
          <w:rFonts w:cstheme="minorHAnsi"/>
        </w:rPr>
        <w:t>zur Lieferantenkommunikation unseres CMS fest.</w:t>
      </w:r>
    </w:p>
    <w:p w:rsidR="00482E18" w:rsidRPr="00B87739" w:rsidRDefault="00482E18" w:rsidP="00482E18">
      <w:pPr>
        <w:pStyle w:val="Gliederung1"/>
        <w:rPr>
          <w:rFonts w:asciiTheme="minorHAnsi" w:hAnsiTheme="minorHAnsi" w:cstheme="minorHAnsi"/>
          <w:sz w:val="20"/>
          <w:szCs w:val="20"/>
        </w:rPr>
      </w:pPr>
      <w:r w:rsidRPr="00B87739">
        <w:rPr>
          <w:rFonts w:asciiTheme="minorHAnsi" w:hAnsiTheme="minorHAnsi" w:cstheme="minorHAnsi"/>
          <w:sz w:val="20"/>
          <w:szCs w:val="20"/>
        </w:rPr>
        <w:t>Geltungsbereich</w:t>
      </w:r>
    </w:p>
    <w:p w:rsidR="00482E18" w:rsidRPr="00B87739" w:rsidRDefault="00482E18" w:rsidP="00DA28AE">
      <w:pPr>
        <w:spacing w:after="120"/>
        <w:rPr>
          <w:rFonts w:cstheme="minorHAnsi"/>
        </w:rPr>
      </w:pPr>
      <w:r w:rsidRPr="00B87739">
        <w:rPr>
          <w:rFonts w:cstheme="minorHAnsi"/>
        </w:rPr>
        <w:t>Diese VA gilt für alle Mitarbeiter in allen Bereichen.</w:t>
      </w:r>
    </w:p>
    <w:p w:rsidR="00482E18" w:rsidRPr="00B87739" w:rsidRDefault="00482E18" w:rsidP="00482E18">
      <w:pPr>
        <w:pStyle w:val="Gliederung1"/>
        <w:rPr>
          <w:rFonts w:asciiTheme="minorHAnsi" w:hAnsiTheme="minorHAnsi" w:cstheme="minorHAnsi"/>
          <w:sz w:val="20"/>
          <w:szCs w:val="20"/>
        </w:rPr>
      </w:pPr>
      <w:r w:rsidRPr="00B87739">
        <w:rPr>
          <w:rFonts w:asciiTheme="minorHAnsi" w:hAnsiTheme="minorHAnsi" w:cstheme="minorHAnsi"/>
          <w:sz w:val="20"/>
          <w:szCs w:val="20"/>
        </w:rPr>
        <w:t>Begriffe</w:t>
      </w:r>
    </w:p>
    <w:p w:rsidR="00482E18" w:rsidRPr="00B87739" w:rsidRDefault="00482E18" w:rsidP="007E7DD4">
      <w:pPr>
        <w:tabs>
          <w:tab w:val="left" w:pos="2700"/>
        </w:tabs>
        <w:spacing w:after="120"/>
        <w:ind w:left="2700" w:hanging="2700"/>
        <w:rPr>
          <w:rFonts w:cstheme="minorHAnsi"/>
        </w:rPr>
      </w:pPr>
      <w:r w:rsidRPr="00B87739">
        <w:rPr>
          <w:rFonts w:cstheme="minorHAnsi"/>
          <w:b/>
          <w:i/>
        </w:rPr>
        <w:t>Fehler</w:t>
      </w:r>
      <w:r w:rsidRPr="00B87739">
        <w:rPr>
          <w:rFonts w:cstheme="minorHAnsi"/>
        </w:rPr>
        <w:tab/>
        <w:t>Kritischer Fehler, Haupt- oder Nebenfehler mit eventueller Auswirkung auf Leib und Leben eines Kunden, erheblichen finanziellen Auswirkungen oder mit geringer Auswirkung; Fehler können auch Probleme aus Kundensicht darstellen</w:t>
      </w:r>
    </w:p>
    <w:p w:rsidR="00482E18" w:rsidRPr="00B87739" w:rsidRDefault="00482E18" w:rsidP="007E7DD4">
      <w:pPr>
        <w:tabs>
          <w:tab w:val="left" w:pos="2700"/>
        </w:tabs>
        <w:spacing w:after="120"/>
        <w:ind w:left="2700" w:hanging="2700"/>
        <w:rPr>
          <w:rFonts w:cstheme="minorHAnsi"/>
        </w:rPr>
      </w:pPr>
      <w:r w:rsidRPr="00B87739">
        <w:rPr>
          <w:rFonts w:cstheme="minorHAnsi"/>
          <w:b/>
          <w:i/>
        </w:rPr>
        <w:t>Problem</w:t>
      </w:r>
      <w:r w:rsidRPr="00B87739">
        <w:rPr>
          <w:rFonts w:cstheme="minorHAnsi"/>
          <w:b/>
          <w:i/>
        </w:rPr>
        <w:tab/>
      </w:r>
      <w:r w:rsidRPr="00B87739">
        <w:rPr>
          <w:rFonts w:cstheme="minorHAnsi"/>
        </w:rPr>
        <w:t>Dinge oder Abläufe, die nicht optimal sind</w:t>
      </w:r>
    </w:p>
    <w:p w:rsidR="00482E18" w:rsidRPr="00B87739" w:rsidRDefault="00482E18" w:rsidP="00482E18">
      <w:pPr>
        <w:pStyle w:val="Gliederung1"/>
        <w:rPr>
          <w:rFonts w:asciiTheme="minorHAnsi" w:hAnsiTheme="minorHAnsi" w:cstheme="minorHAnsi"/>
          <w:sz w:val="20"/>
          <w:szCs w:val="20"/>
        </w:rPr>
      </w:pPr>
      <w:r w:rsidRPr="00B87739">
        <w:rPr>
          <w:rFonts w:asciiTheme="minorHAnsi" w:hAnsiTheme="minorHAnsi" w:cstheme="minorHAnsi"/>
          <w:sz w:val="20"/>
          <w:szCs w:val="20"/>
        </w:rPr>
        <w:t>Zuständigkeit / Verantwortung</w:t>
      </w:r>
    </w:p>
    <w:p w:rsidR="00482E18" w:rsidRPr="00B87739" w:rsidRDefault="00482E18" w:rsidP="00DA28AE">
      <w:pPr>
        <w:spacing w:after="120"/>
        <w:rPr>
          <w:rFonts w:cstheme="minorHAnsi"/>
        </w:rPr>
      </w:pPr>
      <w:r w:rsidRPr="00B87739">
        <w:rPr>
          <w:rFonts w:cstheme="minorHAnsi"/>
        </w:rPr>
        <w:t>Verantwortlich für den Inhalt dieser Anweisung ist die Geschäftsführung. Für die erfolgreiche Umsetzung sorgt jeder Mitarbeiter in seinem Arbeitsbereich.</w:t>
      </w:r>
    </w:p>
    <w:p w:rsidR="00482E18" w:rsidRPr="00B87739" w:rsidRDefault="00482E18" w:rsidP="00482E18">
      <w:pPr>
        <w:pStyle w:val="Gliederung1"/>
        <w:rPr>
          <w:rFonts w:asciiTheme="minorHAnsi" w:hAnsiTheme="minorHAnsi" w:cstheme="minorHAnsi"/>
          <w:sz w:val="20"/>
          <w:szCs w:val="20"/>
        </w:rPr>
      </w:pPr>
      <w:r w:rsidRPr="00B87739">
        <w:rPr>
          <w:rFonts w:asciiTheme="minorHAnsi" w:hAnsiTheme="minorHAnsi" w:cstheme="minorHAnsi"/>
          <w:sz w:val="20"/>
          <w:szCs w:val="20"/>
        </w:rPr>
        <w:t>Beschreibung</w:t>
      </w:r>
    </w:p>
    <w:p w:rsidR="00482E18" w:rsidRDefault="00482E18" w:rsidP="007E7DD4">
      <w:pPr>
        <w:spacing w:after="120"/>
        <w:rPr>
          <w:rFonts w:cstheme="minorHAnsi"/>
        </w:rPr>
      </w:pPr>
      <w:r w:rsidRPr="00A051DD">
        <w:rPr>
          <w:rFonts w:cstheme="minorHAnsi"/>
        </w:rPr>
        <w:t xml:space="preserve">Die oberste Leitung muss sicherstellen, dass geeignete Prozesse der Kommunikation innerhalb der gesamten Organisation eingeführt und aufrechterhalten werden und eine Kommunikation über die Wirksamkeit des Compliance Management Systems stattfindet. Die Kommunikation muss die Unterrichtung aller Personen über die sie betreffenden Compliance-Anforderungen beinhalten und auf mögliche Folgen von Compliance-Verstößen hinweisen. </w:t>
      </w:r>
    </w:p>
    <w:p w:rsidR="00482E18" w:rsidRDefault="00482E18" w:rsidP="007E7DD4">
      <w:pPr>
        <w:spacing w:after="120"/>
        <w:rPr>
          <w:rFonts w:cstheme="minorHAnsi"/>
        </w:rPr>
      </w:pPr>
    </w:p>
    <w:p w:rsidR="00482E18" w:rsidRDefault="00482E18" w:rsidP="007E7DD4">
      <w:pPr>
        <w:spacing w:after="120"/>
        <w:rPr>
          <w:rFonts w:cstheme="minorHAnsi"/>
        </w:rPr>
      </w:pPr>
      <w:r>
        <w:rPr>
          <w:rFonts w:cstheme="minorHAnsi"/>
        </w:rPr>
        <w:t>Zu unserer Verantwortung gehört die Sicherstellung einer funktionierenden und CMS-konformen Lieferkette.</w:t>
      </w:r>
    </w:p>
    <w:p w:rsidR="00482E18" w:rsidRDefault="00482E18" w:rsidP="007E7DD4">
      <w:pPr>
        <w:spacing w:after="120"/>
        <w:rPr>
          <w:rFonts w:cstheme="minorHAnsi"/>
        </w:rPr>
      </w:pPr>
    </w:p>
    <w:p w:rsidR="00482E18" w:rsidRPr="00A051DD" w:rsidRDefault="00482E18" w:rsidP="007E7DD4">
      <w:pPr>
        <w:spacing w:after="120"/>
        <w:rPr>
          <w:rFonts w:cstheme="minorHAnsi"/>
          <w:highlight w:val="yellow"/>
        </w:rPr>
      </w:pPr>
      <w:r w:rsidRPr="00A051DD">
        <w:rPr>
          <w:rFonts w:cstheme="minorHAnsi"/>
          <w:highlight w:val="yellow"/>
        </w:rPr>
        <w:t>Wir haben folgenden Prozess festgelegt für die Kommunikation</w:t>
      </w:r>
      <w:r>
        <w:rPr>
          <w:rFonts w:cstheme="minorHAnsi"/>
          <w:highlight w:val="yellow"/>
        </w:rPr>
        <w:t xml:space="preserve"> unserer Lieferantenanforderungen an unsere Lieferanten festgelegt</w:t>
      </w:r>
      <w:r w:rsidRPr="00A051DD">
        <w:rPr>
          <w:rFonts w:cstheme="minorHAnsi"/>
          <w:highlight w:val="yellow"/>
        </w:rPr>
        <w:t>:</w:t>
      </w:r>
    </w:p>
    <w:p w:rsidR="00482E18" w:rsidRPr="00A051DD" w:rsidRDefault="00482E18" w:rsidP="007E7DD4">
      <w:pPr>
        <w:spacing w:after="120"/>
        <w:rPr>
          <w:rFonts w:cstheme="minorHAnsi"/>
          <w:highlight w:val="yellow"/>
        </w:rPr>
      </w:pPr>
      <w:r w:rsidRPr="00A051DD">
        <w:rPr>
          <w:rFonts w:cstheme="minorHAnsi"/>
          <w:highlight w:val="yellow"/>
        </w:rPr>
        <w:t>….</w:t>
      </w:r>
    </w:p>
    <w:p w:rsidR="00482E18" w:rsidRPr="00A051DD" w:rsidRDefault="00482E18" w:rsidP="007E7DD4">
      <w:pPr>
        <w:spacing w:after="120"/>
        <w:rPr>
          <w:rFonts w:cstheme="minorHAnsi"/>
          <w:highlight w:val="yellow"/>
        </w:rPr>
      </w:pPr>
    </w:p>
    <w:p w:rsidR="00482E18" w:rsidRDefault="00482E18" w:rsidP="007E7DD4">
      <w:pPr>
        <w:spacing w:after="120"/>
        <w:rPr>
          <w:rFonts w:cstheme="minorHAnsi"/>
        </w:rPr>
      </w:pPr>
    </w:p>
    <w:p w:rsidR="00482E18" w:rsidRDefault="00482E18" w:rsidP="007E7DD4">
      <w:pPr>
        <w:spacing w:after="120"/>
        <w:rPr>
          <w:rFonts w:cstheme="minorHAnsi"/>
        </w:rPr>
      </w:pPr>
    </w:p>
    <w:p w:rsidR="00482E18" w:rsidRPr="00B87739" w:rsidRDefault="00482E18" w:rsidP="007E7DD4">
      <w:pPr>
        <w:spacing w:after="120"/>
        <w:rPr>
          <w:rFonts w:cstheme="minorHAnsi"/>
        </w:rPr>
      </w:pPr>
      <w:r>
        <w:rPr>
          <w:rFonts w:cstheme="minorHAnsi"/>
        </w:rPr>
        <w:t>Auftretende Schwächen oder Fehler werden im Compliance Team immer wieder im Sinne einer Szenariotechnik vorbeugend thematisiert bzw. über Meldungen zur Kenntnis gebracht. Daraufhin erfolgt</w:t>
      </w:r>
      <w:r w:rsidRPr="00B87739">
        <w:rPr>
          <w:rFonts w:cstheme="minorHAnsi"/>
        </w:rPr>
        <w:t xml:space="preserve"> eine systematische Ursachenanalyse erkannter möglicher </w:t>
      </w:r>
      <w:r>
        <w:rPr>
          <w:rFonts w:cstheme="minorHAnsi"/>
        </w:rPr>
        <w:t xml:space="preserve">Problemfelder mit </w:t>
      </w:r>
      <w:r w:rsidRPr="00B87739">
        <w:rPr>
          <w:rFonts w:cstheme="minorHAnsi"/>
        </w:rPr>
        <w:t>Verbesserung</w:t>
      </w:r>
      <w:r>
        <w:rPr>
          <w:rFonts w:cstheme="minorHAnsi"/>
        </w:rPr>
        <w:t xml:space="preserve">svorschlägen </w:t>
      </w:r>
      <w:r w:rsidRPr="00B87739">
        <w:rPr>
          <w:rFonts w:cstheme="minorHAnsi"/>
        </w:rPr>
        <w:t xml:space="preserve">auf Grund derer Maßnahmen eingeleitet werden, um </w:t>
      </w:r>
      <w:r>
        <w:rPr>
          <w:rFonts w:cstheme="minorHAnsi"/>
        </w:rPr>
        <w:t>den Wissensstand zu verbessern</w:t>
      </w:r>
      <w:r w:rsidRPr="00B87739">
        <w:rPr>
          <w:rFonts w:cstheme="minorHAnsi"/>
        </w:rPr>
        <w:t>. Des Weiteren bilden regelmäßige Gespräche und Fortbildungen die Grundlage für sorgfältiges und vorbeugendes Verhalten in allen Bereichen.</w:t>
      </w:r>
    </w:p>
    <w:p w:rsidR="00482E18" w:rsidRPr="00B87739" w:rsidRDefault="00482E18" w:rsidP="007E7DD4">
      <w:pPr>
        <w:spacing w:after="120"/>
        <w:rPr>
          <w:rFonts w:cstheme="minorHAnsi"/>
        </w:rPr>
      </w:pPr>
    </w:p>
    <w:p w:rsidR="00482E18" w:rsidRPr="00B87739" w:rsidRDefault="00482E18" w:rsidP="007E7DD4">
      <w:pPr>
        <w:spacing w:after="120"/>
        <w:rPr>
          <w:rFonts w:cstheme="minorHAnsi"/>
        </w:rPr>
      </w:pPr>
      <w:r w:rsidRPr="00B87739">
        <w:rPr>
          <w:rFonts w:cstheme="minorHAnsi"/>
        </w:rPr>
        <w:t>Die Wirksamkeit und damit der Erfolg der durchgeführten Vorbeuge</w:t>
      </w:r>
      <w:r>
        <w:rPr>
          <w:rFonts w:cstheme="minorHAnsi"/>
        </w:rPr>
        <w:t>- und Korrektur</w:t>
      </w:r>
      <w:r w:rsidRPr="00B87739">
        <w:rPr>
          <w:rFonts w:cstheme="minorHAnsi"/>
        </w:rPr>
        <w:t>maßnahmen werden überwacht.</w:t>
      </w:r>
    </w:p>
    <w:p w:rsidR="00482E18" w:rsidRPr="00B87739" w:rsidRDefault="00482E18" w:rsidP="00482E18">
      <w:pPr>
        <w:pStyle w:val="Gliederung1"/>
        <w:rPr>
          <w:rFonts w:asciiTheme="minorHAnsi" w:hAnsiTheme="minorHAnsi" w:cstheme="minorHAnsi"/>
          <w:sz w:val="20"/>
          <w:szCs w:val="20"/>
        </w:rPr>
      </w:pPr>
      <w:r w:rsidRPr="00B87739">
        <w:rPr>
          <w:rFonts w:asciiTheme="minorHAnsi" w:hAnsiTheme="minorHAnsi" w:cstheme="minorHAnsi"/>
          <w:sz w:val="20"/>
          <w:szCs w:val="20"/>
        </w:rPr>
        <w:t>Dokumente und Verweise</w:t>
      </w:r>
    </w:p>
    <w:p w:rsidR="00482E18" w:rsidRPr="00B87739" w:rsidRDefault="00482E18" w:rsidP="00482E18">
      <w:pPr>
        <w:pStyle w:val="Abfrage"/>
        <w:numPr>
          <w:ilvl w:val="0"/>
          <w:numId w:val="4"/>
        </w:numPr>
        <w:spacing w:before="60"/>
        <w:rPr>
          <w:rFonts w:asciiTheme="minorHAnsi" w:hAnsiTheme="minorHAnsi" w:cstheme="minorHAnsi"/>
          <w:sz w:val="20"/>
          <w:szCs w:val="20"/>
        </w:rPr>
      </w:pPr>
      <w:r>
        <w:rPr>
          <w:rFonts w:asciiTheme="minorHAnsi" w:hAnsiTheme="minorHAnsi" w:cstheme="minorHAnsi"/>
          <w:sz w:val="20"/>
          <w:szCs w:val="20"/>
        </w:rPr>
        <w:t>Compliance Team</w:t>
      </w:r>
      <w:r w:rsidRPr="00B87739">
        <w:rPr>
          <w:rFonts w:asciiTheme="minorHAnsi" w:hAnsiTheme="minorHAnsi" w:cstheme="minorHAnsi"/>
          <w:sz w:val="20"/>
          <w:szCs w:val="20"/>
        </w:rPr>
        <w:t>-</w:t>
      </w:r>
      <w:r>
        <w:rPr>
          <w:rFonts w:asciiTheme="minorHAnsi" w:hAnsiTheme="minorHAnsi" w:cstheme="minorHAnsi"/>
          <w:sz w:val="20"/>
          <w:szCs w:val="20"/>
        </w:rPr>
        <w:t>Protokolle</w:t>
      </w:r>
    </w:p>
    <w:p w:rsidR="00482E18" w:rsidRPr="00A051DD" w:rsidRDefault="00482E18" w:rsidP="00482E18">
      <w:pPr>
        <w:pStyle w:val="Abfrage"/>
        <w:numPr>
          <w:ilvl w:val="0"/>
          <w:numId w:val="4"/>
        </w:numPr>
        <w:spacing w:before="60"/>
        <w:rPr>
          <w:rFonts w:asciiTheme="minorHAnsi" w:hAnsiTheme="minorHAnsi" w:cstheme="minorHAnsi"/>
          <w:sz w:val="20"/>
          <w:szCs w:val="20"/>
        </w:rPr>
      </w:pPr>
      <w:r w:rsidRPr="00A051DD">
        <w:rPr>
          <w:rFonts w:asciiTheme="minorHAnsi" w:hAnsiTheme="minorHAnsi" w:cstheme="minorHAnsi"/>
          <w:sz w:val="20"/>
          <w:szCs w:val="20"/>
        </w:rPr>
        <w:t>VA Korrekturmaßnahmen</w:t>
      </w:r>
    </w:p>
    <w:p w:rsidR="00482E18" w:rsidRPr="00B87739" w:rsidRDefault="00482E18" w:rsidP="00671136">
      <w:pPr>
        <w:spacing w:after="120"/>
        <w:rPr>
          <w:rFonts w:cstheme="minorHAnsi"/>
        </w:rPr>
      </w:pPr>
      <w:bookmarkStart w:id="2" w:name="Content"/>
    </w:p>
    <w:p w:rsidR="006761C4" w:rsidRPr="00CC4BD2" w:rsidRDefault="00482E18"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E18" w:rsidRDefault="00482E18" w:rsidP="0077456D">
      <w:pPr>
        <w:spacing w:after="120"/>
      </w:pPr>
      <w:r>
        <w:separator/>
      </w:r>
    </w:p>
  </w:endnote>
  <w:endnote w:type="continuationSeparator" w:id="0">
    <w:p w:rsidR="00482E18" w:rsidRDefault="00482E18"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1748F3">
      <w:rPr>
        <w:noProof/>
        <w:sz w:val="16"/>
        <w:szCs w:val="16"/>
        <w:lang w:val="en-US"/>
      </w:rPr>
      <w:t>LBT[E-2]VA Kommunikationskonzept CMS Lieferanten</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E18" w:rsidRDefault="00482E18" w:rsidP="0077456D">
      <w:pPr>
        <w:spacing w:after="120"/>
      </w:pPr>
      <w:bookmarkStart w:id="0" w:name="_Hlk481136727"/>
      <w:bookmarkEnd w:id="0"/>
      <w:r>
        <w:separator/>
      </w:r>
    </w:p>
  </w:footnote>
  <w:footnote w:type="continuationSeparator" w:id="0">
    <w:p w:rsidR="00482E18" w:rsidRDefault="00482E18"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6E63C1"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7DD65A21"/>
    <w:multiLevelType w:val="hybridMultilevel"/>
    <w:tmpl w:val="F1026D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18"/>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748F3"/>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82E18"/>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6E63C1"/>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37D91AF-97B8-49D5-81C6-AB868F8C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Abfrage">
    <w:name w:val="Abfrage"/>
    <w:basedOn w:val="Standard"/>
    <w:rsid w:val="00482E18"/>
    <w:pPr>
      <w:numPr>
        <w:numId w:val="2"/>
      </w:numPr>
      <w:spacing w:afterLines="0" w:after="0"/>
      <w:jc w:val="left"/>
    </w:pPr>
    <w:rPr>
      <w:rFonts w:ascii="Arial" w:hAnsi="Arial" w:cs="Arial"/>
      <w:sz w:val="22"/>
      <w:szCs w:val="22"/>
    </w:rPr>
  </w:style>
  <w:style w:type="paragraph" w:customStyle="1" w:styleId="Gliederung1">
    <w:name w:val="Gliederung 1"/>
    <w:basedOn w:val="Standard"/>
    <w:autoRedefine/>
    <w:rsid w:val="00482E18"/>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482E18"/>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482E18"/>
    <w:pPr>
      <w:numPr>
        <w:ilvl w:val="2"/>
        <w:numId w:val="3"/>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250</Words>
  <Characters>1851</Characters>
  <Application>Microsoft Office Word</Application>
  <DocSecurity>0</DocSecurity>
  <Lines>39</Lines>
  <Paragraphs>19</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2021-10-04T11:18:00Z</dcterms:created>
  <dcterms:modified xsi:type="dcterms:W3CDTF">2021-10-04T11:18:00Z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