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819" w:rsidRPr="00157735" w:rsidRDefault="00EC7819" w:rsidP="00EC7819">
      <w:pPr>
        <w:pStyle w:val="Gliederung1"/>
        <w:rPr>
          <w:rFonts w:asciiTheme="minorHAnsi" w:hAnsiTheme="minorHAnsi" w:cstheme="minorHAnsi"/>
          <w:sz w:val="20"/>
          <w:szCs w:val="20"/>
        </w:rPr>
      </w:pPr>
      <w:bookmarkStart w:id="1" w:name="_GoBack"/>
      <w:bookmarkEnd w:id="1"/>
      <w:r w:rsidRPr="00157735">
        <w:rPr>
          <w:rFonts w:asciiTheme="minorHAnsi" w:hAnsiTheme="minorHAnsi" w:cstheme="minorHAnsi"/>
          <w:sz w:val="20"/>
          <w:szCs w:val="20"/>
        </w:rPr>
        <w:t>Zweck</w:t>
      </w:r>
    </w:p>
    <w:p w:rsidR="00EC7819" w:rsidRPr="00157735" w:rsidRDefault="00EC7819" w:rsidP="00A649F4">
      <w:pPr>
        <w:spacing w:after="120"/>
        <w:rPr>
          <w:rFonts w:cstheme="minorHAnsi"/>
        </w:rPr>
      </w:pPr>
      <w:r w:rsidRPr="00157735">
        <w:rPr>
          <w:rFonts w:cstheme="minorHAnsi"/>
        </w:rPr>
        <w:t>Interne Qualitätsaudits (das Qualitätsaudit wird auf das ganze QM-System oder Elemente davon angewendet) dienen dazu, alle Aktivitäten im Qualitätsmanagementsystem objektiv und unparteiisch auf ihre Wirksamkeit hin zu untersuchen. Dadurch ermitteln wir Schwachstellen in der Organisation und weisen auf einzuleitende Korrekturmaßnahmen hin. Weiterhin dienen Qualitätsaudits der Feststellung, ob die Forderungen der Normen und der gesetzlichen Anforderungen erfüllt sind. Diese Art der Überprüfung führt zu klaren und transparenten Strukturen in der Praxis.</w:t>
      </w:r>
    </w:p>
    <w:p w:rsidR="00EC7819" w:rsidRPr="00157735" w:rsidRDefault="00EC7819" w:rsidP="00A649F4">
      <w:pPr>
        <w:spacing w:after="120"/>
        <w:rPr>
          <w:rFonts w:cstheme="minorHAnsi"/>
        </w:rPr>
      </w:pPr>
    </w:p>
    <w:p w:rsidR="00EC7819" w:rsidRPr="00157735" w:rsidRDefault="00EC7819" w:rsidP="00A649F4">
      <w:pPr>
        <w:spacing w:after="120"/>
        <w:rPr>
          <w:rFonts w:cstheme="minorHAnsi"/>
        </w:rPr>
      </w:pPr>
      <w:r w:rsidRPr="00157735">
        <w:rPr>
          <w:rFonts w:cstheme="minorHAnsi"/>
        </w:rPr>
        <w:t>Zweck der Systemaudits (Prüfung der zum QM-System gehörenden QM-Elemente) ist die Feststellung von Verbesserungspotenzialen ebenso wie die Beurteilung der Notwendigkeit zur Einleitung von Korrekturmaßnahmen.</w:t>
      </w:r>
    </w:p>
    <w:p w:rsidR="00EC7819" w:rsidRPr="00157735" w:rsidRDefault="00EC7819" w:rsidP="00A649F4">
      <w:pPr>
        <w:spacing w:after="120"/>
        <w:rPr>
          <w:rFonts w:cstheme="minorHAnsi"/>
        </w:rPr>
      </w:pPr>
    </w:p>
    <w:p w:rsidR="00EC7819" w:rsidRPr="00157735" w:rsidRDefault="00EC7819" w:rsidP="00A649F4">
      <w:pPr>
        <w:spacing w:after="120"/>
        <w:rPr>
          <w:rFonts w:cstheme="minorHAnsi"/>
        </w:rPr>
      </w:pPr>
      <w:r w:rsidRPr="00157735">
        <w:rPr>
          <w:rFonts w:cstheme="minorHAnsi"/>
        </w:rPr>
        <w:t>Verfahrens- oder Prozess-Audits (Auditierung definierter Verfahrensabläufe) dienen der Beurteilung der Qualitätsfähigkeit, der Einhaltung und Zweckmäßigkeit bestimmter Prozesse.</w:t>
      </w:r>
    </w:p>
    <w:p w:rsidR="00EC7819" w:rsidRPr="00157735" w:rsidRDefault="00EC7819" w:rsidP="00EC7819">
      <w:pPr>
        <w:pStyle w:val="Gliederung1"/>
        <w:rPr>
          <w:rFonts w:asciiTheme="minorHAnsi" w:hAnsiTheme="minorHAnsi" w:cstheme="minorHAnsi"/>
          <w:sz w:val="20"/>
          <w:szCs w:val="20"/>
        </w:rPr>
      </w:pPr>
      <w:r w:rsidRPr="00157735">
        <w:rPr>
          <w:rFonts w:asciiTheme="minorHAnsi" w:hAnsiTheme="minorHAnsi" w:cstheme="minorHAnsi"/>
          <w:sz w:val="20"/>
          <w:szCs w:val="20"/>
        </w:rPr>
        <w:t>Geltungsbereich</w:t>
      </w:r>
    </w:p>
    <w:p w:rsidR="00EC7819" w:rsidRPr="00157735" w:rsidRDefault="00EC7819">
      <w:pPr>
        <w:spacing w:after="120"/>
        <w:rPr>
          <w:rFonts w:cstheme="minorHAnsi"/>
        </w:rPr>
      </w:pPr>
      <w:r w:rsidRPr="00157735">
        <w:rPr>
          <w:rFonts w:cstheme="minorHAnsi"/>
        </w:rPr>
        <w:t>Diese VA gilt für alle Mitarbeiter des Unternehmens.</w:t>
      </w:r>
    </w:p>
    <w:p w:rsidR="00EC7819" w:rsidRPr="00157735" w:rsidRDefault="00EC7819" w:rsidP="00EC7819">
      <w:pPr>
        <w:pStyle w:val="Gliederung1"/>
        <w:rPr>
          <w:rFonts w:asciiTheme="minorHAnsi" w:hAnsiTheme="minorHAnsi" w:cstheme="minorHAnsi"/>
          <w:sz w:val="20"/>
          <w:szCs w:val="20"/>
        </w:rPr>
      </w:pPr>
      <w:r w:rsidRPr="00157735">
        <w:rPr>
          <w:rFonts w:asciiTheme="minorHAnsi" w:hAnsiTheme="minorHAnsi" w:cstheme="minorHAnsi"/>
          <w:sz w:val="20"/>
          <w:szCs w:val="20"/>
        </w:rPr>
        <w:t>Begriffe</w:t>
      </w:r>
    </w:p>
    <w:p w:rsidR="00EC7819" w:rsidRPr="00157735" w:rsidRDefault="00EC7819" w:rsidP="00757041">
      <w:pPr>
        <w:tabs>
          <w:tab w:val="left" w:pos="1980"/>
        </w:tabs>
        <w:spacing w:after="120"/>
        <w:ind w:left="1980" w:hanging="1980"/>
        <w:rPr>
          <w:rFonts w:cstheme="minorHAnsi"/>
        </w:rPr>
      </w:pPr>
      <w:r w:rsidRPr="00157735">
        <w:rPr>
          <w:rFonts w:cstheme="minorHAnsi"/>
          <w:b/>
          <w:i/>
        </w:rPr>
        <w:t xml:space="preserve">Audit </w:t>
      </w:r>
      <w:r w:rsidRPr="00157735">
        <w:rPr>
          <w:rFonts w:cstheme="minorHAnsi"/>
          <w:b/>
        </w:rPr>
        <w:tab/>
      </w:r>
      <w:r w:rsidRPr="00157735">
        <w:rPr>
          <w:rFonts w:cstheme="minorHAnsi"/>
        </w:rPr>
        <w:t xml:space="preserve">Nach DIN ISO 19011 ist der Begriff wie folgt definiert: </w:t>
      </w:r>
      <w:r w:rsidRPr="00157735">
        <w:rPr>
          <w:rFonts w:cstheme="minorHAnsi"/>
        </w:rPr>
        <w:br/>
        <w:t>Systematischer, unabhängiger und dokumentierter Prozess zur Erlangung von Auditnachweisen und zu deren objektiver Auswertung, um zu ermitteln, inwieweit Auditkriterien erfüllt sind. In der Organisation wird darunter die Begutachtung verstanden, ob vorgegebene Anforderungen (z. B. die der ISO 9001) eingehalten werden.</w:t>
      </w:r>
    </w:p>
    <w:p w:rsidR="00EC7819" w:rsidRPr="00157735" w:rsidRDefault="00EC7819" w:rsidP="00EC7819">
      <w:pPr>
        <w:pStyle w:val="Gliederung1"/>
        <w:rPr>
          <w:rFonts w:asciiTheme="minorHAnsi" w:hAnsiTheme="minorHAnsi" w:cstheme="minorHAnsi"/>
          <w:sz w:val="20"/>
          <w:szCs w:val="20"/>
        </w:rPr>
      </w:pPr>
      <w:r w:rsidRPr="00157735">
        <w:rPr>
          <w:rFonts w:asciiTheme="minorHAnsi" w:hAnsiTheme="minorHAnsi" w:cstheme="minorHAnsi"/>
          <w:sz w:val="20"/>
          <w:szCs w:val="20"/>
        </w:rPr>
        <w:t>Zuständigkeit / Verantwortung</w:t>
      </w:r>
    </w:p>
    <w:p w:rsidR="00EC7819" w:rsidRPr="00157735" w:rsidRDefault="00EC7819">
      <w:pPr>
        <w:spacing w:after="120"/>
        <w:rPr>
          <w:rFonts w:cstheme="minorHAnsi"/>
        </w:rPr>
      </w:pPr>
      <w:r w:rsidRPr="00157735">
        <w:rPr>
          <w:rFonts w:cstheme="minorHAnsi"/>
        </w:rPr>
        <w:t>Zuständig für die Umsetzung dieser Verfahrensanweisung ist der Qualitätsmanagementbeauftragte (QMB). Die Verantwortung trägt die Geschäftsleitung.</w:t>
      </w:r>
    </w:p>
    <w:p w:rsidR="00EC7819" w:rsidRPr="00157735" w:rsidRDefault="00EC7819" w:rsidP="00EC7819">
      <w:pPr>
        <w:pStyle w:val="Gliederung1"/>
        <w:rPr>
          <w:rFonts w:asciiTheme="minorHAnsi" w:hAnsiTheme="minorHAnsi" w:cstheme="minorHAnsi"/>
          <w:sz w:val="20"/>
          <w:szCs w:val="20"/>
        </w:rPr>
      </w:pPr>
      <w:r w:rsidRPr="00157735">
        <w:rPr>
          <w:rFonts w:asciiTheme="minorHAnsi" w:hAnsiTheme="minorHAnsi" w:cstheme="minorHAnsi"/>
          <w:sz w:val="20"/>
          <w:szCs w:val="20"/>
        </w:rPr>
        <w:t>Beschreibung</w:t>
      </w:r>
    </w:p>
    <w:p w:rsidR="00EC7819" w:rsidRPr="00157735" w:rsidRDefault="00EC7819" w:rsidP="00EC7819">
      <w:pPr>
        <w:pStyle w:val="Gliederung2"/>
        <w:rPr>
          <w:rFonts w:asciiTheme="minorHAnsi" w:hAnsiTheme="minorHAnsi" w:cstheme="minorHAnsi"/>
          <w:sz w:val="20"/>
          <w:szCs w:val="20"/>
        </w:rPr>
      </w:pPr>
      <w:bookmarkStart w:id="2" w:name="_Toc325360198"/>
      <w:bookmarkStart w:id="3" w:name="_Toc325363976"/>
      <w:bookmarkStart w:id="4" w:name="_Toc326791634"/>
      <w:bookmarkStart w:id="5" w:name="_Toc326791851"/>
      <w:bookmarkStart w:id="6" w:name="_Toc324821275"/>
      <w:bookmarkStart w:id="7" w:name="_Toc325357276"/>
      <w:bookmarkStart w:id="8" w:name="_Toc325360201"/>
      <w:bookmarkStart w:id="9" w:name="_Toc325363979"/>
      <w:bookmarkStart w:id="10" w:name="_Toc326791637"/>
      <w:bookmarkStart w:id="11" w:name="_Toc326791854"/>
      <w:r w:rsidRPr="00157735">
        <w:rPr>
          <w:rFonts w:asciiTheme="minorHAnsi" w:hAnsiTheme="minorHAnsi" w:cstheme="minorHAnsi"/>
          <w:sz w:val="20"/>
          <w:szCs w:val="20"/>
        </w:rPr>
        <w:t>Planung</w:t>
      </w:r>
    </w:p>
    <w:p w:rsidR="00EC7819" w:rsidRPr="00157735" w:rsidRDefault="00EC7819" w:rsidP="00A649F4">
      <w:pPr>
        <w:spacing w:after="120"/>
        <w:rPr>
          <w:rFonts w:cstheme="minorHAnsi"/>
        </w:rPr>
      </w:pPr>
      <w:r w:rsidRPr="00157735">
        <w:rPr>
          <w:rFonts w:cstheme="minorHAnsi"/>
        </w:rPr>
        <w:t>Interne Audits werden in festgelegten Abständen durchgeführt. Hierzu erstellt der externe Audit-Verantwortliche einen Auditplan. Neben den geplanten Audits können auch ungeplante Audits durchgeführt werden. Anlass für ein ungeplantes Audit kann sein:</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Ein erkanntes oder vermutetes Risiko</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Organisationsänderungen</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Prozessänderungen</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Abweichungen bei der Leistungserbringung</w:t>
      </w:r>
    </w:p>
    <w:p w:rsidR="00EC7819" w:rsidRPr="00157735" w:rsidRDefault="00EC7819" w:rsidP="00EC7819">
      <w:pPr>
        <w:pStyle w:val="Gliederung2"/>
        <w:rPr>
          <w:rFonts w:asciiTheme="minorHAnsi" w:hAnsiTheme="minorHAnsi" w:cstheme="minorHAnsi"/>
          <w:sz w:val="20"/>
          <w:szCs w:val="20"/>
        </w:rPr>
      </w:pPr>
      <w:r w:rsidRPr="00157735">
        <w:rPr>
          <w:rFonts w:asciiTheme="minorHAnsi" w:hAnsiTheme="minorHAnsi" w:cstheme="minorHAnsi"/>
          <w:sz w:val="20"/>
          <w:szCs w:val="20"/>
        </w:rPr>
        <w:br w:type="page"/>
      </w:r>
      <w:r w:rsidRPr="00157735">
        <w:rPr>
          <w:rFonts w:asciiTheme="minorHAnsi" w:hAnsiTheme="minorHAnsi" w:cstheme="minorHAnsi"/>
          <w:sz w:val="20"/>
          <w:szCs w:val="20"/>
        </w:rPr>
        <w:lastRenderedPageBreak/>
        <w:t>Vorbereitung</w:t>
      </w:r>
    </w:p>
    <w:p w:rsidR="00EC7819" w:rsidRPr="00157735" w:rsidRDefault="00EC7819" w:rsidP="00A649F4">
      <w:pPr>
        <w:widowControl w:val="0"/>
        <w:spacing w:after="120"/>
        <w:rPr>
          <w:rFonts w:cstheme="minorHAnsi"/>
        </w:rPr>
      </w:pPr>
      <w:r w:rsidRPr="00157735">
        <w:rPr>
          <w:rFonts w:cstheme="minorHAnsi"/>
        </w:rPr>
        <w:t xml:space="preserve">Für die Auditvorbereitung ist der </w:t>
      </w:r>
      <w:r w:rsidRPr="00157735">
        <w:rPr>
          <w:rFonts w:cstheme="minorHAnsi"/>
          <w:highlight w:val="yellow"/>
        </w:rPr>
        <w:t>interne/externe</w:t>
      </w:r>
      <w:r w:rsidRPr="00157735">
        <w:rPr>
          <w:rFonts w:cstheme="minorHAnsi"/>
        </w:rPr>
        <w:t xml:space="preserve"> Audit-Beauftragte verantwortlich. Seine Vorbereitung beinhaltet:</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Erstellen eines Fragenkatalogs und Abstimmung mit dem zu auditierenden Bereich:</w:t>
      </w:r>
      <w:r w:rsidRPr="00157735">
        <w:rPr>
          <w:rFonts w:asciiTheme="minorHAnsi" w:hAnsiTheme="minorHAnsi" w:cstheme="minorHAnsi"/>
          <w:sz w:val="20"/>
          <w:szCs w:val="20"/>
        </w:rPr>
        <w:br/>
        <w:t>- Zeitraum, Ort, Ablauf</w:t>
      </w:r>
      <w:r w:rsidRPr="00157735">
        <w:rPr>
          <w:rFonts w:asciiTheme="minorHAnsi" w:hAnsiTheme="minorHAnsi" w:cstheme="minorHAnsi"/>
          <w:sz w:val="20"/>
          <w:szCs w:val="20"/>
        </w:rPr>
        <w:br/>
        <w:t>- Interviewpartner</w:t>
      </w:r>
      <w:r w:rsidRPr="00157735">
        <w:rPr>
          <w:rFonts w:asciiTheme="minorHAnsi" w:hAnsiTheme="minorHAnsi" w:cstheme="minorHAnsi"/>
          <w:sz w:val="20"/>
          <w:szCs w:val="20"/>
        </w:rPr>
        <w:br/>
        <w:t>- Termine des Eröffnungs- und Abschlussgesprächs</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Festlegen der Bewertungskriterien</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Anfordern und Überprüfen der QM-Dokumentation des zu auditierenden Bereichs</w:t>
      </w:r>
    </w:p>
    <w:p w:rsidR="00EC7819" w:rsidRPr="00157735" w:rsidRDefault="00EC7819"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Erstellen des Audit-Ergebnisberichtes und evtl. des Maßnahmenkatalogs</w:t>
      </w:r>
    </w:p>
    <w:p w:rsidR="00EC7819" w:rsidRPr="00157735" w:rsidRDefault="00EC7819" w:rsidP="00EC7819">
      <w:pPr>
        <w:pStyle w:val="Gliederung2"/>
        <w:rPr>
          <w:rFonts w:asciiTheme="minorHAnsi" w:hAnsiTheme="minorHAnsi" w:cstheme="minorHAnsi"/>
          <w:sz w:val="20"/>
          <w:szCs w:val="20"/>
        </w:rPr>
      </w:pPr>
      <w:r w:rsidRPr="00157735">
        <w:rPr>
          <w:rFonts w:asciiTheme="minorHAnsi" w:hAnsiTheme="minorHAnsi" w:cstheme="minorHAnsi"/>
          <w:sz w:val="20"/>
          <w:szCs w:val="20"/>
        </w:rPr>
        <w:t>Durchführung</w:t>
      </w:r>
    </w:p>
    <w:p w:rsidR="00EC7819" w:rsidRPr="00157735" w:rsidRDefault="00EC7819" w:rsidP="00A649F4">
      <w:pPr>
        <w:spacing w:after="120"/>
        <w:rPr>
          <w:rFonts w:cstheme="minorHAnsi"/>
        </w:rPr>
      </w:pPr>
      <w:r w:rsidRPr="00157735">
        <w:rPr>
          <w:rFonts w:cstheme="minorHAnsi"/>
        </w:rPr>
        <w:t>Die Durchführung erfolgt gemäß dem abgestimmten Fragenkatalog. Festgestellte Abweichungen und Empfehlungen werden im Ergebnisbericht protokolliert.</w:t>
      </w:r>
    </w:p>
    <w:p w:rsidR="00EC7819" w:rsidRPr="00157735" w:rsidRDefault="00EC7819" w:rsidP="00EC7819">
      <w:pPr>
        <w:pStyle w:val="Gliederung2"/>
        <w:rPr>
          <w:rFonts w:asciiTheme="minorHAnsi" w:hAnsiTheme="minorHAnsi" w:cstheme="minorHAnsi"/>
          <w:sz w:val="20"/>
          <w:szCs w:val="20"/>
        </w:rPr>
      </w:pPr>
      <w:bookmarkStart w:id="12" w:name="_Toc325360199"/>
      <w:bookmarkStart w:id="13" w:name="_Toc325363977"/>
      <w:bookmarkStart w:id="14" w:name="_Toc326791635"/>
      <w:bookmarkStart w:id="15" w:name="_Toc326791852"/>
      <w:bookmarkEnd w:id="2"/>
      <w:bookmarkEnd w:id="3"/>
      <w:bookmarkEnd w:id="4"/>
      <w:bookmarkEnd w:id="5"/>
      <w:r w:rsidRPr="00157735">
        <w:rPr>
          <w:rFonts w:asciiTheme="minorHAnsi" w:hAnsiTheme="minorHAnsi" w:cstheme="minorHAnsi"/>
          <w:sz w:val="20"/>
          <w:szCs w:val="20"/>
        </w:rPr>
        <w:t>Abschluss</w:t>
      </w:r>
    </w:p>
    <w:p w:rsidR="00EC7819" w:rsidRPr="00157735" w:rsidRDefault="00EC7819" w:rsidP="00A649F4">
      <w:pPr>
        <w:spacing w:after="120"/>
        <w:rPr>
          <w:rFonts w:cstheme="minorHAnsi"/>
        </w:rPr>
      </w:pPr>
      <w:r w:rsidRPr="00157735">
        <w:rPr>
          <w:rFonts w:cstheme="minorHAnsi"/>
        </w:rPr>
        <w:t>In einem Abschlussgespräch werden dem auditierten Bereich die Ergebnisse vorgestellt sowie die vorläufige Bewertung mitgeteilt. Der Auditbericht wird an den Auftraggeber sowie den Leiter des auditierten Bereichs verteilt. Er beinhaltet das Auditergebnis, die Bewertung, eventuell eine Stellungnahme des auditierten Bereiches sowie die weitere Vorgehensweise. Der auditierte Bereich ist für die Abarbeitung und die Terminverfolgung der Korrekturmaßnahmen verantwortlich. Er informiert die Praxisleitung über den erfolgreichen Abschluss.</w:t>
      </w:r>
    </w:p>
    <w:p w:rsidR="00EC7819" w:rsidRPr="00157735" w:rsidRDefault="00EC7819" w:rsidP="00EC7819">
      <w:pPr>
        <w:pStyle w:val="Gliederung2"/>
        <w:rPr>
          <w:rFonts w:asciiTheme="minorHAnsi" w:hAnsiTheme="minorHAnsi" w:cstheme="minorHAnsi"/>
          <w:sz w:val="20"/>
          <w:szCs w:val="20"/>
        </w:rPr>
      </w:pPr>
      <w:r w:rsidRPr="00157735">
        <w:rPr>
          <w:rFonts w:asciiTheme="minorHAnsi" w:hAnsiTheme="minorHAnsi" w:cstheme="minorHAnsi"/>
          <w:sz w:val="20"/>
          <w:szCs w:val="20"/>
        </w:rPr>
        <w:t>Dokumentation</w:t>
      </w:r>
    </w:p>
    <w:p w:rsidR="00EC7819" w:rsidRPr="00157735" w:rsidRDefault="00EC7819" w:rsidP="00A649F4">
      <w:pPr>
        <w:spacing w:after="120"/>
        <w:rPr>
          <w:rFonts w:cstheme="minorHAnsi"/>
        </w:rPr>
      </w:pPr>
      <w:r w:rsidRPr="00157735">
        <w:rPr>
          <w:rFonts w:cstheme="minorHAnsi"/>
        </w:rPr>
        <w:t>Auditberichte und zugehörige Dokumente wie Fragenkatalog, Bewertungsschema usw. werden als Qualitätsaufzeichnungen behandelt.</w:t>
      </w:r>
    </w:p>
    <w:p w:rsidR="00EC7819" w:rsidRPr="00157735" w:rsidRDefault="00EC7819" w:rsidP="00A649F4">
      <w:pPr>
        <w:spacing w:after="120"/>
        <w:rPr>
          <w:rFonts w:cstheme="minorHAnsi"/>
        </w:rPr>
      </w:pPr>
    </w:p>
    <w:bookmarkEnd w:id="12"/>
    <w:bookmarkEnd w:id="13"/>
    <w:bookmarkEnd w:id="14"/>
    <w:bookmarkEnd w:id="15"/>
    <w:p w:rsidR="00EC7819" w:rsidRPr="00157735" w:rsidRDefault="00EC7819">
      <w:pPr>
        <w:spacing w:after="120"/>
        <w:rPr>
          <w:rFonts w:cstheme="minorHAnsi"/>
        </w:rPr>
      </w:pPr>
      <w:r w:rsidRPr="00157735">
        <w:rPr>
          <w:rFonts w:cstheme="minorHAnsi"/>
        </w:rPr>
        <w:t>Eine Zusammenfassung der internen Auditergebnisse fließt in die Managementbewertung ein.</w:t>
      </w:r>
      <w:bookmarkEnd w:id="6"/>
      <w:bookmarkEnd w:id="7"/>
      <w:bookmarkEnd w:id="8"/>
      <w:bookmarkEnd w:id="9"/>
      <w:bookmarkEnd w:id="10"/>
      <w:bookmarkEnd w:id="11"/>
    </w:p>
    <w:p w:rsidR="00EC7819" w:rsidRPr="00157735" w:rsidRDefault="00EC7819" w:rsidP="00EC7819">
      <w:pPr>
        <w:pStyle w:val="Gliederung1"/>
        <w:rPr>
          <w:rFonts w:asciiTheme="minorHAnsi" w:hAnsiTheme="minorHAnsi" w:cstheme="minorHAnsi"/>
          <w:sz w:val="20"/>
          <w:szCs w:val="20"/>
        </w:rPr>
      </w:pPr>
      <w:r w:rsidRPr="00157735">
        <w:rPr>
          <w:rFonts w:asciiTheme="minorHAnsi" w:hAnsiTheme="minorHAnsi" w:cstheme="minorHAnsi"/>
          <w:sz w:val="20"/>
          <w:szCs w:val="20"/>
        </w:rPr>
        <w:t>Dokumente und Verweise</w:t>
      </w:r>
    </w:p>
    <w:p w:rsidR="00EC7819" w:rsidRPr="00157735" w:rsidRDefault="00EC7819" w:rsidP="00EC7819">
      <w:pPr>
        <w:pStyle w:val="Fuzeile"/>
        <w:numPr>
          <w:ilvl w:val="0"/>
          <w:numId w:val="4"/>
        </w:numPr>
        <w:tabs>
          <w:tab w:val="clear" w:pos="4536"/>
          <w:tab w:val="clear" w:pos="9072"/>
        </w:tabs>
        <w:spacing w:before="60" w:afterLines="0" w:after="0"/>
        <w:jc w:val="left"/>
        <w:rPr>
          <w:rFonts w:cstheme="minorHAnsi"/>
        </w:rPr>
      </w:pPr>
      <w:r w:rsidRPr="00157735">
        <w:rPr>
          <w:rFonts w:cstheme="minorHAnsi"/>
        </w:rPr>
        <w:t>Auditplan / Auditprogramm</w:t>
      </w:r>
    </w:p>
    <w:p w:rsidR="00EC7819" w:rsidRPr="00157735" w:rsidRDefault="00EC7819" w:rsidP="00EC7819">
      <w:pPr>
        <w:pStyle w:val="Fuzeile"/>
        <w:numPr>
          <w:ilvl w:val="0"/>
          <w:numId w:val="4"/>
        </w:numPr>
        <w:tabs>
          <w:tab w:val="clear" w:pos="4536"/>
          <w:tab w:val="clear" w:pos="9072"/>
        </w:tabs>
        <w:spacing w:before="60" w:afterLines="0" w:after="0"/>
        <w:jc w:val="left"/>
        <w:rPr>
          <w:rFonts w:cstheme="minorHAnsi"/>
        </w:rPr>
      </w:pPr>
      <w:r w:rsidRPr="00157735">
        <w:rPr>
          <w:rFonts w:cstheme="minorHAnsi"/>
        </w:rPr>
        <w:t>Audit-Checklisten</w:t>
      </w:r>
    </w:p>
    <w:p w:rsidR="00EC7819" w:rsidRPr="00157735" w:rsidRDefault="00EC7819" w:rsidP="00EC7819">
      <w:pPr>
        <w:pStyle w:val="Fuzeile"/>
        <w:numPr>
          <w:ilvl w:val="0"/>
          <w:numId w:val="4"/>
        </w:numPr>
        <w:tabs>
          <w:tab w:val="clear" w:pos="4536"/>
          <w:tab w:val="clear" w:pos="9072"/>
        </w:tabs>
        <w:spacing w:before="60" w:afterLines="0" w:after="0"/>
        <w:jc w:val="left"/>
        <w:rPr>
          <w:rFonts w:cstheme="minorHAnsi"/>
        </w:rPr>
      </w:pPr>
      <w:r w:rsidRPr="00157735">
        <w:rPr>
          <w:rFonts w:cstheme="minorHAnsi"/>
        </w:rPr>
        <w:t>Audit-Bericht</w:t>
      </w:r>
    </w:p>
    <w:p w:rsidR="00EC7819" w:rsidRPr="00157735" w:rsidRDefault="00EC7819" w:rsidP="00671136">
      <w:pPr>
        <w:spacing w:after="120"/>
        <w:rPr>
          <w:rFonts w:cstheme="minorHAnsi"/>
        </w:rPr>
      </w:pPr>
      <w:bookmarkStart w:id="16" w:name="Content"/>
    </w:p>
    <w:p w:rsidR="006761C4" w:rsidRPr="00CC4BD2" w:rsidRDefault="00EC7819" w:rsidP="00025AEE">
      <w:pPr>
        <w:spacing w:after="120"/>
        <w:rPr>
          <w:color w:val="000000"/>
        </w:rPr>
      </w:pPr>
      <w:r>
        <w:rPr>
          <w:color w:val="000000"/>
        </w:rPr>
        <w:t xml:space="preserve"> </w:t>
      </w:r>
      <w:bookmarkEnd w:id="16"/>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819" w:rsidRDefault="00EC7819" w:rsidP="0077456D">
      <w:pPr>
        <w:spacing w:after="120"/>
      </w:pPr>
      <w:r>
        <w:separator/>
      </w:r>
    </w:p>
  </w:endnote>
  <w:endnote w:type="continuationSeparator" w:id="0">
    <w:p w:rsidR="00EC7819" w:rsidRDefault="00EC7819"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0F439E">
      <w:rPr>
        <w:noProof/>
        <w:sz w:val="16"/>
        <w:szCs w:val="16"/>
        <w:lang w:val="en-US"/>
      </w:rPr>
      <w:t>LBT[G-7]VA Interne Audits</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819" w:rsidRDefault="00EC7819" w:rsidP="0077456D">
      <w:pPr>
        <w:spacing w:after="120"/>
      </w:pPr>
      <w:bookmarkStart w:id="0" w:name="_Hlk481136727"/>
      <w:bookmarkEnd w:id="0"/>
      <w:r>
        <w:separator/>
      </w:r>
    </w:p>
  </w:footnote>
  <w:footnote w:type="continuationSeparator" w:id="0">
    <w:p w:rsidR="00EC7819" w:rsidRDefault="00EC7819"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3463F5"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63ACA"/>
    <w:multiLevelType w:val="hybridMultilevel"/>
    <w:tmpl w:val="3064C8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19"/>
    <w:rsid w:val="00000179"/>
    <w:rsid w:val="00021B41"/>
    <w:rsid w:val="00025AEE"/>
    <w:rsid w:val="00055887"/>
    <w:rsid w:val="00056667"/>
    <w:rsid w:val="0006543C"/>
    <w:rsid w:val="00066F3C"/>
    <w:rsid w:val="000B0E59"/>
    <w:rsid w:val="000B5A73"/>
    <w:rsid w:val="000C01CB"/>
    <w:rsid w:val="000C6FC2"/>
    <w:rsid w:val="000D74A2"/>
    <w:rsid w:val="000F439E"/>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463F5"/>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819"/>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D2A5F90-B12A-41EF-AD1F-B64100CD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EC7819"/>
    <w:pPr>
      <w:numPr>
        <w:numId w:val="2"/>
      </w:numPr>
      <w:spacing w:afterLines="0" w:after="0"/>
      <w:jc w:val="left"/>
    </w:pPr>
    <w:rPr>
      <w:rFonts w:ascii="Arial" w:hAnsi="Arial" w:cs="Arial"/>
      <w:sz w:val="22"/>
      <w:szCs w:val="22"/>
    </w:rPr>
  </w:style>
  <w:style w:type="character" w:customStyle="1" w:styleId="FuzeileZchn">
    <w:name w:val="Fußzeile Zchn"/>
    <w:basedOn w:val="Absatz-Standardschriftart"/>
    <w:link w:val="Fuzeile"/>
    <w:rsid w:val="00EC7819"/>
    <w:rPr>
      <w:rFonts w:asciiTheme="minorHAnsi" w:hAnsiTheme="minorHAnsi"/>
    </w:rPr>
  </w:style>
  <w:style w:type="paragraph" w:customStyle="1" w:styleId="Gliederung1">
    <w:name w:val="Gliederung 1"/>
    <w:basedOn w:val="Standard"/>
    <w:autoRedefine/>
    <w:rsid w:val="00EC7819"/>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EC7819"/>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EC7819"/>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412</Words>
  <Characters>3116</Characters>
  <Application>Microsoft Office Word</Application>
  <DocSecurity>0</DocSecurity>
  <Lines>63</Lines>
  <Paragraphs>34</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2021-10-04T11:21:00Z</dcterms:created>
  <dcterms:modified xsi:type="dcterms:W3CDTF">2021-10-04T11:21:00Z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