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FE5" w:rsidRDefault="00937FE5" w:rsidP="002E7CE4">
      <w:pPr>
        <w:spacing w:after="120"/>
        <w:jc w:val="center"/>
      </w:pPr>
      <w:bookmarkStart w:id="1" w:name="_GoBack"/>
      <w:bookmarkEnd w:id="1"/>
      <w:r>
        <w:rPr>
          <w:b/>
          <w:bCs/>
          <w:color w:val="FF0000"/>
        </w:rPr>
        <w:t>Das Dokument ist eine Mustervorlage. Bitte passen Sie diese an Ihr Unternehmen an.</w:t>
      </w:r>
    </w:p>
    <w:p w:rsidR="00937FE5" w:rsidRDefault="00937FE5" w:rsidP="002E7CE4">
      <w:pPr>
        <w:pStyle w:val="berschrift2"/>
        <w:jc w:val="center"/>
      </w:pPr>
      <w:r>
        <w:rPr>
          <w:color w:val="FF0000"/>
          <w:sz w:val="20"/>
        </w:rPr>
        <w:t xml:space="preserve">Die </w:t>
      </w:r>
      <w:proofErr w:type="spellStart"/>
      <w:r>
        <w:rPr>
          <w:color w:val="FF0000"/>
          <w:sz w:val="20"/>
        </w:rPr>
        <w:t>Alchimedus</w:t>
      </w:r>
      <w:proofErr w:type="spellEnd"/>
      <w:r>
        <w:rPr>
          <w:color w:val="FF0000"/>
          <w:sz w:val="20"/>
        </w:rPr>
        <w:t xml:space="preserve"> Management GmbH übernimmt für den Inhalt keine Haftung. </w:t>
      </w:r>
    </w:p>
    <w:p w:rsidR="00937FE5" w:rsidRDefault="00937FE5" w:rsidP="002E7CE4">
      <w:pPr>
        <w:pStyle w:val="berschrift2"/>
        <w:jc w:val="center"/>
      </w:pPr>
      <w:r>
        <w:rPr>
          <w:color w:val="FF0000"/>
          <w:sz w:val="20"/>
        </w:rPr>
        <w:t>Die Nutzung erfolgt auf eigene Gefahr des Nutzers!</w:t>
      </w:r>
    </w:p>
    <w:p w:rsidR="00937FE5" w:rsidRDefault="00937FE5" w:rsidP="00A018B1">
      <w:pPr>
        <w:spacing w:after="120"/>
        <w:rPr>
          <w:sz w:val="44"/>
          <w:szCs w:val="44"/>
        </w:rPr>
      </w:pPr>
    </w:p>
    <w:p w:rsidR="00937FE5" w:rsidRPr="00BF69D2" w:rsidRDefault="00937FE5" w:rsidP="002E7CE4">
      <w:pPr>
        <w:spacing w:after="120"/>
        <w:jc w:val="center"/>
        <w:rPr>
          <w:sz w:val="44"/>
          <w:szCs w:val="44"/>
        </w:rPr>
      </w:pPr>
      <w:r>
        <w:rPr>
          <w:sz w:val="44"/>
          <w:szCs w:val="44"/>
        </w:rPr>
        <w:t>K</w:t>
      </w:r>
      <w:r w:rsidRPr="00BF69D2">
        <w:rPr>
          <w:sz w:val="44"/>
          <w:szCs w:val="44"/>
        </w:rPr>
        <w:t>lassifizierung für Aktenvernichter</w:t>
      </w:r>
    </w:p>
    <w:p w:rsidR="00937FE5" w:rsidRPr="00BF69D2" w:rsidRDefault="00937FE5" w:rsidP="002E7CE4">
      <w:pPr>
        <w:spacing w:after="120"/>
        <w:jc w:val="center"/>
        <w:rPr>
          <w:sz w:val="44"/>
          <w:szCs w:val="44"/>
        </w:rPr>
      </w:pPr>
      <w:r>
        <w:rPr>
          <w:sz w:val="44"/>
          <w:szCs w:val="44"/>
        </w:rPr>
        <w:t>nach der neuen</w:t>
      </w:r>
      <w:r w:rsidRPr="00BF69D2">
        <w:rPr>
          <w:sz w:val="44"/>
          <w:szCs w:val="44"/>
        </w:rPr>
        <w:t xml:space="preserve"> Norm DIN 66399</w:t>
      </w:r>
    </w:p>
    <w:p w:rsidR="00937FE5" w:rsidRPr="00BF69D2" w:rsidRDefault="00937FE5" w:rsidP="00A018B1">
      <w:pPr>
        <w:spacing w:after="120"/>
      </w:pPr>
    </w:p>
    <w:p w:rsidR="00937FE5" w:rsidRPr="00BF69D2" w:rsidRDefault="00937FE5" w:rsidP="00A018B1">
      <w:pPr>
        <w:spacing w:after="120"/>
      </w:pPr>
      <w:r w:rsidRPr="00BF69D2">
        <w:t>Um bei der Datenträgervernichtung dem Wirtschaftlichkeitsprinzip bzw. Angemessenheitsprinzip Rechnung zu tragen, ist es notwendig, die Daten in Schutzklassen einzuteilen. Dabei ist der Grad der Schutzbedürftigkeit ausschlaggebend für die Wahl der Sicherheitsstufe in Bezug auf die Vernichtung der Datenträger.</w:t>
      </w:r>
    </w:p>
    <w:p w:rsidR="00937FE5" w:rsidRPr="00BF69D2" w:rsidRDefault="00937FE5" w:rsidP="00A018B1">
      <w:pPr>
        <w:spacing w:after="120"/>
      </w:pPr>
    </w:p>
    <w:p w:rsidR="00937FE5" w:rsidRPr="00BF69D2" w:rsidRDefault="00937FE5" w:rsidP="00A018B1">
      <w:pPr>
        <w:spacing w:after="120"/>
        <w:rPr>
          <w:b/>
        </w:rPr>
      </w:pPr>
      <w:r w:rsidRPr="00BF69D2">
        <w:rPr>
          <w:b/>
        </w:rPr>
        <w:t>Schutzklasse 1:</w:t>
      </w:r>
    </w:p>
    <w:p w:rsidR="00937FE5" w:rsidRPr="00BF69D2" w:rsidRDefault="00937FE5" w:rsidP="00A018B1">
      <w:pPr>
        <w:spacing w:after="120"/>
      </w:pPr>
      <w:r w:rsidRPr="00BF69D2">
        <w:t xml:space="preserve">Normaler Schutzbedarf für interne Daten. Diese Informationen sind für größere Gruppen bestimmt und zugänglich. </w:t>
      </w:r>
    </w:p>
    <w:p w:rsidR="00937FE5" w:rsidRPr="00BF69D2" w:rsidRDefault="00937FE5" w:rsidP="00A018B1">
      <w:pPr>
        <w:spacing w:after="120"/>
      </w:pPr>
      <w:r w:rsidRPr="00BF69D2">
        <w:t xml:space="preserve">Unberechtigte Offenlegung hätte begrenzte negative Auswirkungen auf das Unternehmen. Der Schutz personenbezogener Daten muss gewährleistet sein. </w:t>
      </w:r>
    </w:p>
    <w:p w:rsidR="00937FE5" w:rsidRPr="00BF69D2" w:rsidRDefault="00937FE5" w:rsidP="00A018B1">
      <w:pPr>
        <w:spacing w:after="120"/>
      </w:pPr>
    </w:p>
    <w:p w:rsidR="00937FE5" w:rsidRPr="00BF69D2" w:rsidRDefault="00937FE5" w:rsidP="00A018B1">
      <w:pPr>
        <w:spacing w:after="120"/>
        <w:rPr>
          <w:u w:val="single"/>
        </w:rPr>
      </w:pPr>
      <w:r w:rsidRPr="00BF69D2">
        <w:rPr>
          <w:u w:val="single"/>
        </w:rPr>
        <w:t xml:space="preserve">Beispiele: </w:t>
      </w:r>
    </w:p>
    <w:p w:rsidR="00937FE5" w:rsidRPr="00BF69D2" w:rsidRDefault="00937FE5" w:rsidP="00A018B1">
      <w:pPr>
        <w:spacing w:after="120"/>
      </w:pPr>
      <w:r w:rsidRPr="00BF69D2">
        <w:t>Nicht Knowhow-relevante Korrespondenz, personalisierte Werbung, Kataloge, Wurfsendungen, Notizen</w:t>
      </w:r>
    </w:p>
    <w:p w:rsidR="00937FE5" w:rsidRPr="00BF69D2" w:rsidRDefault="00937FE5" w:rsidP="00A018B1">
      <w:pPr>
        <w:spacing w:after="120"/>
      </w:pPr>
    </w:p>
    <w:p w:rsidR="00937FE5" w:rsidRPr="00BF69D2" w:rsidRDefault="00937FE5" w:rsidP="00A018B1">
      <w:pPr>
        <w:spacing w:after="120"/>
      </w:pPr>
    </w:p>
    <w:p w:rsidR="00937FE5" w:rsidRPr="00BF69D2" w:rsidRDefault="00937FE5" w:rsidP="00A018B1">
      <w:pPr>
        <w:spacing w:after="120"/>
        <w:rPr>
          <w:b/>
        </w:rPr>
      </w:pPr>
      <w:r w:rsidRPr="00BF69D2">
        <w:rPr>
          <w:b/>
        </w:rPr>
        <w:t>Schutzklasse 2:</w:t>
      </w:r>
    </w:p>
    <w:p w:rsidR="00937FE5" w:rsidRPr="00BF69D2" w:rsidRDefault="00937FE5" w:rsidP="00A018B1">
      <w:pPr>
        <w:spacing w:after="120"/>
      </w:pPr>
      <w:r w:rsidRPr="00BF69D2">
        <w:t xml:space="preserve">Hoher Schutzbedarf für vertrauliche Daten, die auf einen kleinen Personenkreis beschränkt sind. Die ungerechtfertigte Weitergabe hätte erhebliche Auswirkungen auf Unternehmen und könnte gegen vertragliche Verpflichtungen oder Gesetze verstoßen. Der Schutz personenbezogener Daten muss hohen Anforderungen genügen. </w:t>
      </w:r>
    </w:p>
    <w:p w:rsidR="00937FE5" w:rsidRPr="00BF69D2" w:rsidRDefault="00937FE5" w:rsidP="00A018B1">
      <w:pPr>
        <w:spacing w:after="120"/>
      </w:pPr>
    </w:p>
    <w:p w:rsidR="00937FE5" w:rsidRPr="00BF69D2" w:rsidRDefault="00937FE5" w:rsidP="00A018B1">
      <w:pPr>
        <w:spacing w:after="120"/>
        <w:rPr>
          <w:u w:val="single"/>
        </w:rPr>
      </w:pPr>
      <w:r w:rsidRPr="00BF69D2">
        <w:rPr>
          <w:u w:val="single"/>
        </w:rPr>
        <w:t xml:space="preserve">Beispiele: </w:t>
      </w:r>
    </w:p>
    <w:p w:rsidR="00937FE5" w:rsidRPr="00BF69D2" w:rsidRDefault="00937FE5" w:rsidP="00A018B1">
      <w:pPr>
        <w:spacing w:after="120"/>
      </w:pPr>
      <w:r w:rsidRPr="00BF69D2">
        <w:t>Knowhow-relevante Korrespondenz wie Angebote, Anfragen, Memos, Aushänge, Personaldaten ...</w:t>
      </w:r>
    </w:p>
    <w:p w:rsidR="00937FE5" w:rsidRPr="00BF69D2" w:rsidRDefault="00937FE5" w:rsidP="00A018B1">
      <w:pPr>
        <w:spacing w:after="120"/>
      </w:pPr>
    </w:p>
    <w:p w:rsidR="00937FE5" w:rsidRPr="00BF69D2" w:rsidRDefault="00937FE5" w:rsidP="00A018B1">
      <w:pPr>
        <w:spacing w:after="120"/>
      </w:pPr>
    </w:p>
    <w:p w:rsidR="00937FE5" w:rsidRPr="00BF69D2" w:rsidRDefault="00937FE5" w:rsidP="00A018B1">
      <w:pPr>
        <w:spacing w:after="120"/>
        <w:rPr>
          <w:b/>
        </w:rPr>
      </w:pPr>
      <w:r w:rsidRPr="00BF69D2">
        <w:rPr>
          <w:b/>
          <w:highlight w:val="yellow"/>
        </w:rPr>
        <w:t>Schutzklasse 3:</w:t>
      </w:r>
    </w:p>
    <w:p w:rsidR="00937FE5" w:rsidRPr="00BF69D2" w:rsidRDefault="00937FE5" w:rsidP="00A018B1">
      <w:pPr>
        <w:spacing w:after="120"/>
      </w:pPr>
      <w:r w:rsidRPr="00BF69D2">
        <w:t xml:space="preserve">Sehr hoher Schutzbedarf für besonders vertrauliche und geheime Daten mit Beschränkung auf einen kleinen, namentlich bekannten Kreis von Zugriffsberechtigten. Eine unberechtigte Weitergabe hätte ernsthafte, existenzbedrohende Auswirkungen für Unternehmen und würde gegen Berufsgeheimnisse, Verträge und Gesetze verstoßen. Der Schutz personenbezogener Daten muss uneingeschränkt gewährleistet sein. </w:t>
      </w:r>
    </w:p>
    <w:p w:rsidR="00937FE5" w:rsidRPr="00BF69D2" w:rsidRDefault="00937FE5" w:rsidP="00A018B1">
      <w:pPr>
        <w:spacing w:after="120"/>
      </w:pPr>
    </w:p>
    <w:p w:rsidR="00937FE5" w:rsidRPr="00BF69D2" w:rsidRDefault="00937FE5" w:rsidP="00A018B1">
      <w:pPr>
        <w:spacing w:after="120"/>
        <w:rPr>
          <w:u w:val="single"/>
        </w:rPr>
      </w:pPr>
      <w:r w:rsidRPr="00BF69D2">
        <w:rPr>
          <w:u w:val="single"/>
        </w:rPr>
        <w:t xml:space="preserve">Beispiele: </w:t>
      </w:r>
    </w:p>
    <w:p w:rsidR="00937FE5" w:rsidRPr="00BF69D2" w:rsidRDefault="00937FE5" w:rsidP="00A018B1">
      <w:pPr>
        <w:spacing w:after="120"/>
      </w:pPr>
      <w:r w:rsidRPr="00BF69D2">
        <w:t>Unterlagen der Geschäftsleitung, F&amp;E-Dokumente, Finanzdaten, Verschluss-Sachen ...</w:t>
      </w:r>
    </w:p>
    <w:p w:rsidR="00937FE5" w:rsidRPr="00BF69D2" w:rsidRDefault="00937FE5" w:rsidP="00A018B1">
      <w:pPr>
        <w:spacing w:after="120"/>
      </w:pPr>
      <w:r w:rsidRPr="00BF69D2">
        <w:lastRenderedPageBreak/>
        <w:t>Die Zuordnung der drei Schutzklassen zu den Sicherheitsstufen kann mit folgender Tabelle vorgenommen werden;</w:t>
      </w:r>
    </w:p>
    <w:p w:rsidR="00937FE5" w:rsidRDefault="00937FE5" w:rsidP="00A018B1">
      <w:pPr>
        <w:spacing w:after="120"/>
      </w:pPr>
    </w:p>
    <w:p w:rsidR="00937FE5" w:rsidRDefault="00937FE5" w:rsidP="00A018B1">
      <w:pPr>
        <w:spacing w:after="120"/>
      </w:pPr>
    </w:p>
    <w:p w:rsidR="00937FE5" w:rsidRPr="00BF69D2" w:rsidRDefault="00937FE5" w:rsidP="00A018B1">
      <w:pPr>
        <w:spacing w:after="120"/>
      </w:pPr>
    </w:p>
    <w:p w:rsidR="00937FE5" w:rsidRPr="001B3695" w:rsidRDefault="00937FE5" w:rsidP="00A018B1">
      <w:pPr>
        <w:pStyle w:val="berschrift1"/>
        <w:rPr>
          <w:rFonts w:ascii="Calibri" w:hAnsi="Calibri"/>
        </w:rPr>
      </w:pPr>
      <w:r w:rsidRPr="001B3695">
        <w:rPr>
          <w:rFonts w:ascii="Calibri" w:hAnsi="Calibri"/>
        </w:rPr>
        <w:t>Sicherheitsstufen der DIN 66399 für Informationsdarstellung</w:t>
      </w:r>
      <w:r w:rsidRPr="001B3695">
        <w:rPr>
          <w:rFonts w:ascii="Calibri" w:hAnsi="Calibri"/>
        </w:rPr>
        <w:br/>
        <w:t>in Originalgröße, z.B. Papierdokumente (P für Papier)</w:t>
      </w:r>
    </w:p>
    <w:p w:rsidR="00937FE5" w:rsidRPr="00BF69D2" w:rsidRDefault="00937FE5" w:rsidP="00A018B1">
      <w:pPr>
        <w:spacing w:after="120"/>
      </w:pPr>
    </w:p>
    <w:p w:rsidR="00937FE5" w:rsidRPr="00BF69D2" w:rsidRDefault="00937FE5" w:rsidP="00A018B1">
      <w:pPr>
        <w:spacing w:after="120"/>
      </w:pPr>
    </w:p>
    <w:p w:rsidR="00937FE5" w:rsidRPr="001B3695" w:rsidRDefault="00937FE5" w:rsidP="00A018B1">
      <w:pPr>
        <w:pStyle w:val="berschrift1"/>
        <w:rPr>
          <w:rFonts w:ascii="Calibri" w:hAnsi="Calibri"/>
        </w:rPr>
      </w:pPr>
      <w:r w:rsidRPr="001B3695">
        <w:rPr>
          <w:rFonts w:ascii="Calibri" w:hAnsi="Calibri"/>
        </w:rPr>
        <w:t xml:space="preserve">Sicherheitsstufe P-4 </w:t>
      </w:r>
    </w:p>
    <w:p w:rsidR="00937FE5" w:rsidRPr="001B3695" w:rsidRDefault="00937FE5" w:rsidP="00A018B1">
      <w:pPr>
        <w:pStyle w:val="StandardWeb"/>
        <w:rPr>
          <w:rFonts w:ascii="Calibri" w:hAnsi="Calibri"/>
        </w:rPr>
      </w:pPr>
      <w:r w:rsidRPr="001B3695">
        <w:rPr>
          <w:rFonts w:ascii="Calibri" w:hAnsi="Calibri"/>
        </w:rPr>
        <w:t>Empfohlen für Datenträger mit besonders sensiblen und vertraulichen Daten. Materialteilchenfläche ≤ 160 mm</w:t>
      </w:r>
      <w:r w:rsidRPr="001B3695">
        <w:rPr>
          <w:rFonts w:ascii="Calibri" w:hAnsi="Calibri"/>
          <w:vertAlign w:val="superscript"/>
        </w:rPr>
        <w:t>2</w:t>
      </w:r>
      <w:r w:rsidRPr="001B3695">
        <w:rPr>
          <w:rFonts w:ascii="Calibri" w:hAnsi="Calibri"/>
        </w:rPr>
        <w:t xml:space="preserve"> und für regelmäßige Partikel: Streifenbreite ≤ 6 mm (z.B. Partikel 4 x 40 mm).</w:t>
      </w:r>
    </w:p>
    <w:p w:rsidR="00937FE5" w:rsidRDefault="00937FE5" w:rsidP="00A018B1">
      <w:pPr>
        <w:spacing w:after="120"/>
      </w:pPr>
    </w:p>
    <w:p w:rsidR="00937FE5" w:rsidRPr="00BF69D2" w:rsidRDefault="00937FE5" w:rsidP="00A018B1">
      <w:pPr>
        <w:spacing w:after="120"/>
      </w:pPr>
    </w:p>
    <w:p w:rsidR="00937FE5" w:rsidRPr="001B3695" w:rsidRDefault="00937FE5" w:rsidP="00A018B1">
      <w:pPr>
        <w:pStyle w:val="berschrift1"/>
        <w:rPr>
          <w:rFonts w:ascii="Calibri" w:hAnsi="Calibri"/>
        </w:rPr>
      </w:pPr>
      <w:r w:rsidRPr="001B3695">
        <w:rPr>
          <w:rFonts w:ascii="Calibri" w:hAnsi="Calibri"/>
        </w:rPr>
        <w:t xml:space="preserve">Sicherheitsstufe P-5 </w:t>
      </w:r>
    </w:p>
    <w:p w:rsidR="00937FE5" w:rsidRPr="001B3695" w:rsidRDefault="00937FE5" w:rsidP="00A018B1">
      <w:pPr>
        <w:pStyle w:val="StandardWeb"/>
        <w:rPr>
          <w:rFonts w:ascii="Calibri" w:hAnsi="Calibri"/>
        </w:rPr>
      </w:pPr>
      <w:r w:rsidRPr="001B3695">
        <w:rPr>
          <w:rFonts w:ascii="Calibri" w:hAnsi="Calibri"/>
        </w:rPr>
        <w:t xml:space="preserve">Empfohlen für Datenträger mit geheim </w:t>
      </w:r>
      <w:proofErr w:type="gramStart"/>
      <w:r w:rsidRPr="001B3695">
        <w:rPr>
          <w:rFonts w:ascii="Calibri" w:hAnsi="Calibri"/>
        </w:rPr>
        <w:t>zu haltende Daten</w:t>
      </w:r>
      <w:proofErr w:type="gramEnd"/>
      <w:r w:rsidRPr="001B3695">
        <w:rPr>
          <w:rFonts w:ascii="Calibri" w:hAnsi="Calibri"/>
        </w:rPr>
        <w:t>. Materialteilchenfläche ≤ 30 mm</w:t>
      </w:r>
      <w:r w:rsidRPr="001B3695">
        <w:rPr>
          <w:rFonts w:ascii="Calibri" w:hAnsi="Calibri"/>
          <w:vertAlign w:val="superscript"/>
        </w:rPr>
        <w:t>2</w:t>
      </w:r>
      <w:r w:rsidRPr="001B3695">
        <w:rPr>
          <w:rFonts w:ascii="Calibri" w:hAnsi="Calibri"/>
        </w:rPr>
        <w:t xml:space="preserve"> und für regelmäßige Partikel: Streifenbreite ≤ 2 mm (z.B. Partikel 2 x 15 mm).</w:t>
      </w:r>
    </w:p>
    <w:p w:rsidR="00937FE5" w:rsidRDefault="00937FE5" w:rsidP="00A018B1">
      <w:pPr>
        <w:spacing w:after="120"/>
      </w:pPr>
    </w:p>
    <w:p w:rsidR="00937FE5" w:rsidRDefault="00937FE5" w:rsidP="00A018B1">
      <w:pPr>
        <w:pStyle w:val="StandardWeb"/>
        <w:rPr>
          <w:rFonts w:ascii="Calibri" w:hAnsi="Calibri"/>
        </w:rPr>
      </w:pPr>
    </w:p>
    <w:p w:rsidR="00937FE5" w:rsidRPr="00BF69D2" w:rsidRDefault="00937FE5" w:rsidP="00A018B1">
      <w:pPr>
        <w:spacing w:before="100" w:beforeAutospacing="1" w:after="120" w:afterAutospacing="1"/>
        <w:outlineLvl w:val="1"/>
        <w:rPr>
          <w:b/>
          <w:bCs/>
          <w:sz w:val="36"/>
          <w:szCs w:val="36"/>
        </w:rPr>
      </w:pPr>
    </w:p>
    <w:p w:rsidR="00937FE5" w:rsidRPr="00BF69D2" w:rsidRDefault="00937FE5" w:rsidP="00A018B1">
      <w:pPr>
        <w:spacing w:before="100" w:beforeAutospacing="1" w:after="120" w:afterAutospacing="1"/>
        <w:outlineLvl w:val="1"/>
        <w:rPr>
          <w:b/>
          <w:bCs/>
          <w:sz w:val="36"/>
          <w:szCs w:val="36"/>
        </w:rPr>
      </w:pPr>
      <w:r w:rsidRPr="00BF69D2">
        <w:rPr>
          <w:b/>
          <w:bCs/>
          <w:sz w:val="36"/>
          <w:szCs w:val="36"/>
        </w:rPr>
        <w:t xml:space="preserve">Anwendungsfall: Arztpraxis </w:t>
      </w:r>
    </w:p>
    <w:p w:rsidR="00937FE5" w:rsidRPr="00BF69D2" w:rsidRDefault="00937FE5" w:rsidP="00A018B1">
      <w:pPr>
        <w:spacing w:before="100" w:beforeAutospacing="1" w:after="120" w:afterAutospacing="1"/>
        <w:rPr>
          <w:sz w:val="24"/>
          <w:szCs w:val="24"/>
        </w:rPr>
      </w:pPr>
      <w:r w:rsidRPr="00BF69D2">
        <w:rPr>
          <w:sz w:val="24"/>
          <w:szCs w:val="24"/>
        </w:rPr>
        <w:t>In einer Arztpraxis sollen alte Patientenakten vernichtet werden.</w:t>
      </w:r>
      <w:r w:rsidRPr="00BF69D2">
        <w:rPr>
          <w:sz w:val="24"/>
          <w:szCs w:val="24"/>
        </w:rPr>
        <w:br/>
        <w:t xml:space="preserve">Sie enthalten </w:t>
      </w:r>
      <w:r w:rsidRPr="00BF69D2">
        <w:rPr>
          <w:b/>
          <w:bCs/>
          <w:sz w:val="24"/>
          <w:szCs w:val="24"/>
        </w:rPr>
        <w:t>streng vertrauliche personenbezogene Daten</w:t>
      </w:r>
      <w:r w:rsidRPr="00BF69D2">
        <w:rPr>
          <w:sz w:val="24"/>
          <w:szCs w:val="24"/>
        </w:rPr>
        <w:t xml:space="preserve">. </w:t>
      </w:r>
    </w:p>
    <w:p w:rsidR="00937FE5" w:rsidRPr="00BF69D2" w:rsidRDefault="00937FE5" w:rsidP="00A018B1">
      <w:pPr>
        <w:spacing w:before="100" w:beforeAutospacing="1" w:after="120" w:afterAutospacing="1"/>
        <w:rPr>
          <w:sz w:val="24"/>
          <w:szCs w:val="24"/>
        </w:rPr>
      </w:pPr>
      <w:r w:rsidRPr="00BF69D2">
        <w:rPr>
          <w:sz w:val="24"/>
          <w:szCs w:val="24"/>
        </w:rPr>
        <w:t xml:space="preserve">Die Patientenakten bestehen aus </w:t>
      </w:r>
      <w:r w:rsidRPr="00BF69D2">
        <w:rPr>
          <w:b/>
          <w:bCs/>
          <w:sz w:val="24"/>
          <w:szCs w:val="24"/>
        </w:rPr>
        <w:t xml:space="preserve">Schriftdokumenten </w:t>
      </w:r>
      <w:r w:rsidRPr="00BF69D2">
        <w:rPr>
          <w:sz w:val="24"/>
          <w:szCs w:val="24"/>
        </w:rPr>
        <w:t xml:space="preserve">und </w:t>
      </w:r>
      <w:r w:rsidRPr="00BF69D2">
        <w:rPr>
          <w:b/>
          <w:bCs/>
          <w:sz w:val="24"/>
          <w:szCs w:val="24"/>
        </w:rPr>
        <w:t>Röntgenaufnahmen</w:t>
      </w:r>
      <w:r w:rsidRPr="00BF69D2">
        <w:rPr>
          <w:sz w:val="24"/>
          <w:szCs w:val="24"/>
        </w:rPr>
        <w:t>.</w:t>
      </w:r>
      <w:r w:rsidRPr="00BF69D2">
        <w:rPr>
          <w:sz w:val="24"/>
          <w:szCs w:val="24"/>
        </w:rPr>
        <w:br/>
        <w:t>Für die Vernichtung der Datenträger ist also die</w:t>
      </w:r>
      <w:r w:rsidRPr="00BF69D2">
        <w:rPr>
          <w:b/>
          <w:bCs/>
          <w:sz w:val="24"/>
          <w:szCs w:val="24"/>
        </w:rPr>
        <w:t xml:space="preserve"> Datenträgergruppe P</w:t>
      </w:r>
      <w:r w:rsidRPr="00BF69D2">
        <w:rPr>
          <w:sz w:val="24"/>
          <w:szCs w:val="24"/>
        </w:rPr>
        <w:t xml:space="preserve"> relevant. </w:t>
      </w:r>
    </w:p>
    <w:p w:rsidR="00937FE5" w:rsidRPr="00BF69D2" w:rsidRDefault="00937FE5" w:rsidP="00A018B1">
      <w:pPr>
        <w:spacing w:before="100" w:beforeAutospacing="1" w:after="120" w:afterAutospacing="1"/>
        <w:rPr>
          <w:sz w:val="24"/>
          <w:szCs w:val="24"/>
        </w:rPr>
      </w:pPr>
      <w:r w:rsidRPr="00BF69D2">
        <w:rPr>
          <w:sz w:val="24"/>
          <w:szCs w:val="24"/>
        </w:rPr>
        <w:t xml:space="preserve">Zu diesem Anwendungsfall passen </w:t>
      </w:r>
      <w:proofErr w:type="spellStart"/>
      <w:r w:rsidRPr="00BF69D2">
        <w:rPr>
          <w:sz w:val="24"/>
          <w:szCs w:val="24"/>
        </w:rPr>
        <w:t>Papierschredder</w:t>
      </w:r>
      <w:proofErr w:type="spellEnd"/>
      <w:r w:rsidRPr="00BF69D2">
        <w:rPr>
          <w:sz w:val="24"/>
          <w:szCs w:val="24"/>
        </w:rPr>
        <w:t xml:space="preserve"> mit den </w:t>
      </w:r>
      <w:r w:rsidRPr="00BF69D2">
        <w:rPr>
          <w:b/>
          <w:bCs/>
          <w:sz w:val="24"/>
          <w:szCs w:val="24"/>
          <w:highlight w:val="yellow"/>
        </w:rPr>
        <w:t>Sicherheitsstufen P-4 oder P-5</w:t>
      </w:r>
      <w:r w:rsidRPr="00BF69D2">
        <w:rPr>
          <w:sz w:val="24"/>
          <w:szCs w:val="24"/>
          <w:highlight w:val="yellow"/>
        </w:rPr>
        <w:t xml:space="preserve"> der </w:t>
      </w:r>
      <w:r w:rsidRPr="00BF69D2">
        <w:rPr>
          <w:b/>
          <w:bCs/>
          <w:sz w:val="24"/>
          <w:szCs w:val="24"/>
          <w:highlight w:val="yellow"/>
        </w:rPr>
        <w:t>Schutzklasse 3</w:t>
      </w:r>
      <w:r w:rsidRPr="00BF69D2">
        <w:rPr>
          <w:sz w:val="24"/>
          <w:szCs w:val="24"/>
          <w:highlight w:val="yellow"/>
        </w:rPr>
        <w:t>.</w:t>
      </w:r>
      <w:bookmarkStart w:id="2" w:name="Content"/>
    </w:p>
    <w:p w:rsidR="006761C4" w:rsidRPr="00CC4BD2" w:rsidRDefault="00937FE5"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9ED" w:rsidRDefault="002439ED" w:rsidP="0077456D">
      <w:pPr>
        <w:spacing w:after="120"/>
      </w:pPr>
      <w:r>
        <w:separator/>
      </w:r>
    </w:p>
  </w:endnote>
  <w:endnote w:type="continuationSeparator" w:id="0">
    <w:p w:rsidR="002439ED" w:rsidRDefault="002439ED"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A86219">
      <w:rPr>
        <w:noProof/>
        <w:sz w:val="16"/>
        <w:szCs w:val="16"/>
        <w:lang w:val="en-US"/>
      </w:rPr>
      <w:t>LBT[K-3]Info-Aktenvernichter</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9ED" w:rsidRDefault="002439ED" w:rsidP="0077456D">
      <w:pPr>
        <w:spacing w:after="120"/>
      </w:pPr>
      <w:bookmarkStart w:id="0" w:name="_Hlk481136727"/>
      <w:bookmarkEnd w:id="0"/>
      <w:r>
        <w:separator/>
      </w:r>
    </w:p>
  </w:footnote>
  <w:footnote w:type="continuationSeparator" w:id="0">
    <w:p w:rsidR="002439ED" w:rsidRDefault="002439ED"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075E0B"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9"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1"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3"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4"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5"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6"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7"/>
  </w:num>
  <w:num w:numId="6">
    <w:abstractNumId w:val="23"/>
  </w:num>
  <w:num w:numId="7">
    <w:abstractNumId w:val="36"/>
  </w:num>
  <w:num w:numId="8">
    <w:abstractNumId w:val="21"/>
  </w:num>
  <w:num w:numId="9">
    <w:abstractNumId w:val="6"/>
  </w:num>
  <w:num w:numId="10">
    <w:abstractNumId w:val="9"/>
  </w:num>
  <w:num w:numId="11">
    <w:abstractNumId w:val="44"/>
  </w:num>
  <w:num w:numId="12">
    <w:abstractNumId w:val="4"/>
  </w:num>
  <w:num w:numId="13">
    <w:abstractNumId w:val="16"/>
  </w:num>
  <w:num w:numId="14">
    <w:abstractNumId w:val="32"/>
  </w:num>
  <w:num w:numId="15">
    <w:abstractNumId w:val="39"/>
  </w:num>
  <w:num w:numId="16">
    <w:abstractNumId w:val="38"/>
  </w:num>
  <w:num w:numId="17">
    <w:abstractNumId w:val="34"/>
  </w:num>
  <w:num w:numId="18">
    <w:abstractNumId w:val="17"/>
  </w:num>
  <w:num w:numId="19">
    <w:abstractNumId w:val="40"/>
  </w:num>
  <w:num w:numId="20">
    <w:abstractNumId w:val="33"/>
  </w:num>
  <w:num w:numId="21">
    <w:abstractNumId w:val="8"/>
  </w:num>
  <w:num w:numId="22">
    <w:abstractNumId w:val="35"/>
  </w:num>
  <w:num w:numId="23">
    <w:abstractNumId w:val="11"/>
  </w:num>
  <w:num w:numId="24">
    <w:abstractNumId w:val="45"/>
  </w:num>
  <w:num w:numId="25">
    <w:abstractNumId w:val="18"/>
  </w:num>
  <w:num w:numId="26">
    <w:abstractNumId w:val="42"/>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
  </w:num>
  <w:num w:numId="33">
    <w:abstractNumId w:val="31"/>
  </w:num>
  <w:num w:numId="34">
    <w:abstractNumId w:val="43"/>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6"/>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E5"/>
    <w:rsid w:val="00000179"/>
    <w:rsid w:val="00021B41"/>
    <w:rsid w:val="00025AEE"/>
    <w:rsid w:val="00055887"/>
    <w:rsid w:val="00056667"/>
    <w:rsid w:val="0006543C"/>
    <w:rsid w:val="00066F3C"/>
    <w:rsid w:val="00075E0B"/>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439ED"/>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A645A"/>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37FE5"/>
    <w:rsid w:val="00956B07"/>
    <w:rsid w:val="00964074"/>
    <w:rsid w:val="00997FBC"/>
    <w:rsid w:val="009C3DC3"/>
    <w:rsid w:val="009D0F5B"/>
    <w:rsid w:val="009E47A0"/>
    <w:rsid w:val="00A47AD3"/>
    <w:rsid w:val="00A86219"/>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DB80A1-7A92-448A-9C6B-54BD9A8F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uiPriority w:val="99"/>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link w:val="berschrift2Zchn"/>
    <w:uiPriority w:val="99"/>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uiPriority w:val="9"/>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berschrift2Zchn">
    <w:name w:val="Überschrift 2 Zchn"/>
    <w:link w:val="berschrift2"/>
    <w:uiPriority w:val="99"/>
    <w:locked/>
    <w:rsid w:val="00937FE5"/>
    <w:rPr>
      <w:rFonts w:asciiTheme="minorHAnsi" w:hAnsiTheme="minorHAnsi"/>
      <w:b/>
      <w:sz w:val="24"/>
    </w:rPr>
  </w:style>
  <w:style w:type="paragraph" w:styleId="StandardWeb">
    <w:name w:val="Normal (Web)"/>
    <w:basedOn w:val="Standard"/>
    <w:uiPriority w:val="99"/>
    <w:unhideWhenUsed/>
    <w:rsid w:val="00937FE5"/>
    <w:pPr>
      <w:spacing w:before="100" w:beforeAutospacing="1" w:afterLines="0"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405</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2021-10-05T08:51:00Z</dcterms:created>
  <dcterms:modified xsi:type="dcterms:W3CDTF">2021-10-05T08:51:00Z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